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62" w:lineRule="exact"/>
        <w:rPr>
          <w:sz w:val="24"/>
          <w:szCs w:val="24"/>
          <w:color w:val="auto"/>
        </w:rPr>
      </w:pPr>
    </w:p>
    <w:p>
      <w:pPr>
        <w:ind w:left="4340"/>
        <w:spacing w:after="0"/>
        <w:rPr>
          <w:sz w:val="20"/>
          <w:szCs w:val="20"/>
          <w:color w:val="auto"/>
        </w:rPr>
      </w:pPr>
      <w:r>
        <w:rPr>
          <w:rFonts w:ascii="Arial" w:cs="Arial" w:eastAsia="Arial" w:hAnsi="Arial"/>
          <w:sz w:val="16"/>
          <w:szCs w:val="16"/>
          <w:color w:val="auto"/>
        </w:rPr>
        <w:t>________________________________</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82" w:lineRule="exact"/>
        <w:rPr>
          <w:sz w:val="24"/>
          <w:szCs w:val="24"/>
          <w:color w:val="auto"/>
        </w:rPr>
      </w:pPr>
    </w:p>
    <w:p>
      <w:pPr>
        <w:ind w:left="4320"/>
        <w:spacing w:after="0"/>
        <w:rPr>
          <w:sz w:val="20"/>
          <w:szCs w:val="20"/>
          <w:color w:val="auto"/>
        </w:rPr>
      </w:pPr>
      <w:r>
        <w:rPr>
          <w:rFonts w:ascii="Arial" w:cs="Arial" w:eastAsia="Arial" w:hAnsi="Arial"/>
          <w:sz w:val="16"/>
          <w:szCs w:val="16"/>
          <w:color w:val="auto"/>
        </w:rPr>
        <w:t>________________________________</w:t>
      </w:r>
    </w:p>
    <w:p>
      <w:pPr>
        <w:spacing w:after="0" w:line="175" w:lineRule="exact"/>
        <w:rPr>
          <w:sz w:val="24"/>
          <w:szCs w:val="24"/>
          <w:color w:val="auto"/>
        </w:rPr>
      </w:pPr>
    </w:p>
    <w:p>
      <w:pPr>
        <w:ind w:left="64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1934</w:t>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87" w:lineRule="exact"/>
        <w:rPr>
          <w:sz w:val="24"/>
          <w:szCs w:val="24"/>
          <w:color w:val="auto"/>
        </w:rPr>
      </w:pPr>
    </w:p>
    <w:p>
      <w:pPr>
        <w:ind w:left="64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ind w:left="286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3961130</wp:posOffset>
            </wp:positionH>
            <wp:positionV relativeFrom="paragraph">
              <wp:posOffset>-7620</wp:posOffset>
            </wp:positionV>
            <wp:extent cx="13627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1-39628</w:t>
      </w:r>
    </w:p>
    <w:p>
      <w:pPr>
        <w:spacing w:after="0" w:line="68"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auto"/>
        </w:rPr>
        <w:t>________________________________</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PROG HOLDINGS, INC.</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300"/>
        <w:spacing w:after="0"/>
        <w:rPr>
          <w:sz w:val="20"/>
          <w:szCs w:val="20"/>
          <w:color w:val="auto"/>
        </w:rPr>
      </w:pPr>
      <w:r>
        <w:rPr>
          <w:rFonts w:ascii="Arial" w:cs="Arial" w:eastAsia="Arial" w:hAnsi="Arial"/>
          <w:sz w:val="16"/>
          <w:szCs w:val="16"/>
          <w:b w:val="1"/>
          <w:bCs w:val="1"/>
          <w:color w:val="auto"/>
        </w:rPr>
        <w:t>_________________________________</w:t>
      </w:r>
    </w:p>
    <w:p>
      <w:pPr>
        <w:spacing w:after="0" w:line="108" w:lineRule="exact"/>
        <w:rPr>
          <w:sz w:val="24"/>
          <w:szCs w:val="24"/>
          <w:color w:val="auto"/>
        </w:rPr>
      </w:pPr>
    </w:p>
    <w:p>
      <w:pPr>
        <w:ind w:left="2900"/>
        <w:spacing w:after="0"/>
        <w:tabs>
          <w:tab w:leader="none" w:pos="8080" w:val="left"/>
        </w:tabs>
        <w:rPr>
          <w:sz w:val="20"/>
          <w:szCs w:val="20"/>
          <w:color w:val="auto"/>
        </w:rPr>
      </w:pPr>
      <w:r>
        <w:rPr>
          <w:rFonts w:ascii="Arial" w:cs="Arial" w:eastAsia="Arial" w:hAnsi="Arial"/>
          <w:sz w:val="18"/>
          <w:szCs w:val="18"/>
          <w:b w:val="1"/>
          <w:bCs w:val="1"/>
          <w:color w:val="auto"/>
        </w:rPr>
        <w:t>Georgia</w:t>
      </w:r>
      <w:r>
        <w:rPr>
          <w:sz w:val="20"/>
          <w:szCs w:val="20"/>
          <w:color w:val="auto"/>
        </w:rPr>
        <w:tab/>
      </w:r>
      <w:r>
        <w:rPr>
          <w:rFonts w:ascii="Arial" w:cs="Arial" w:eastAsia="Arial" w:hAnsi="Arial"/>
          <w:sz w:val="18"/>
          <w:szCs w:val="18"/>
          <w:b w:val="1"/>
          <w:bCs w:val="1"/>
          <w:color w:val="auto"/>
        </w:rPr>
        <w:t>85-2484385</w:t>
      </w:r>
    </w:p>
    <w:p>
      <w:pPr>
        <w:spacing w:after="0" w:line="22" w:lineRule="exact"/>
        <w:rPr>
          <w:sz w:val="24"/>
          <w:szCs w:val="24"/>
          <w:color w:val="auto"/>
        </w:rPr>
      </w:pPr>
    </w:p>
    <w:p>
      <w:pPr>
        <w:ind w:left="2300"/>
        <w:spacing w:after="0"/>
        <w:tabs>
          <w:tab w:leader="none" w:pos="796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 R. S. Employer</w:t>
      </w:r>
    </w:p>
    <w:p>
      <w:pPr>
        <w:ind w:left="2260"/>
        <w:spacing w:after="0"/>
        <w:tabs>
          <w:tab w:leader="none" w:pos="794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70" w:lineRule="exact"/>
        <w:rPr>
          <w:sz w:val="24"/>
          <w:szCs w:val="24"/>
          <w:color w:val="auto"/>
        </w:rPr>
      </w:pPr>
    </w:p>
    <w:p>
      <w:pPr>
        <w:ind w:left="2760"/>
        <w:spacing w:after="0"/>
        <w:tabs>
          <w:tab w:leader="none" w:pos="4360" w:val="left"/>
          <w:tab w:leader="none" w:pos="5380" w:val="left"/>
          <w:tab w:leader="none" w:pos="8080" w:val="left"/>
        </w:tabs>
        <w:rPr>
          <w:sz w:val="20"/>
          <w:szCs w:val="20"/>
          <w:color w:val="auto"/>
        </w:rPr>
      </w:pPr>
      <w:r>
        <w:rPr>
          <w:rFonts w:ascii="Arial" w:cs="Arial" w:eastAsia="Arial" w:hAnsi="Arial"/>
          <w:sz w:val="18"/>
          <w:szCs w:val="18"/>
          <w:b w:val="1"/>
          <w:bCs w:val="1"/>
          <w:color w:val="auto"/>
        </w:rPr>
        <w:t>256 W. Data Drive</w:t>
        <w:tab/>
        <w:t>Draper,</w:t>
      </w:r>
      <w:r>
        <w:rPr>
          <w:sz w:val="20"/>
          <w:szCs w:val="20"/>
          <w:color w:val="auto"/>
        </w:rPr>
        <w:tab/>
      </w:r>
      <w:r>
        <w:rPr>
          <w:rFonts w:ascii="Arial" w:cs="Arial" w:eastAsia="Arial" w:hAnsi="Arial"/>
          <w:sz w:val="18"/>
          <w:szCs w:val="18"/>
          <w:b w:val="1"/>
          <w:bCs w:val="1"/>
          <w:color w:val="auto"/>
        </w:rPr>
        <w:t>Utah</w:t>
      </w:r>
      <w:r>
        <w:rPr>
          <w:sz w:val="20"/>
          <w:szCs w:val="20"/>
          <w:color w:val="auto"/>
        </w:rPr>
        <w:tab/>
      </w:r>
      <w:r>
        <w:rPr>
          <w:rFonts w:ascii="Arial" w:cs="Arial" w:eastAsia="Arial" w:hAnsi="Arial"/>
          <w:sz w:val="16"/>
          <w:szCs w:val="16"/>
          <w:b w:val="1"/>
          <w:bCs w:val="1"/>
          <w:color w:val="auto"/>
        </w:rPr>
        <w:t>84020-2315</w:t>
      </w:r>
    </w:p>
    <w:p>
      <w:pPr>
        <w:spacing w:after="0" w:line="27" w:lineRule="exact"/>
        <w:rPr>
          <w:sz w:val="24"/>
          <w:szCs w:val="24"/>
          <w:color w:val="auto"/>
        </w:rPr>
      </w:pPr>
    </w:p>
    <w:p>
      <w:pPr>
        <w:ind w:left="2020"/>
        <w:spacing w:after="0"/>
        <w:tabs>
          <w:tab w:leader="none" w:pos="818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1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(385) 351-1369</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p>
      <w:pPr>
        <w:ind w:left="1700"/>
        <w:spacing w:after="0"/>
        <w:tabs>
          <w:tab w:leader="none" w:pos="5040" w:val="left"/>
          <w:tab w:leader="none" w:pos="756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4"/>
          <w:szCs w:val="14"/>
          <w:b w:val="1"/>
          <w:bCs w:val="1"/>
          <w:color w:val="auto"/>
        </w:rPr>
        <w:t>Trading Symbol</w:t>
      </w:r>
      <w:r>
        <w:rPr>
          <w:sz w:val="20"/>
          <w:szCs w:val="20"/>
          <w:color w:val="auto"/>
        </w:rPr>
        <w:tab/>
      </w:r>
      <w:r>
        <w:rPr>
          <w:rFonts w:ascii="Arial" w:cs="Arial" w:eastAsia="Arial" w:hAnsi="Arial"/>
          <w:sz w:val="12"/>
          <w:szCs w:val="12"/>
          <w:b w:val="1"/>
          <w:bCs w:val="1"/>
          <w:color w:val="auto"/>
        </w:rPr>
        <w:t>Name of each exchange on which registered</w:t>
      </w:r>
    </w:p>
    <w:p>
      <w:pPr>
        <w:spacing w:after="0" w:line="32" w:lineRule="exact"/>
        <w:rPr>
          <w:sz w:val="24"/>
          <w:szCs w:val="24"/>
          <w:color w:val="auto"/>
        </w:rPr>
      </w:pPr>
    </w:p>
    <w:p>
      <w:pPr>
        <w:ind w:left="1000"/>
        <w:spacing w:after="0"/>
        <w:tabs>
          <w:tab w:leader="none" w:pos="5320" w:val="left"/>
          <w:tab w:leader="none" w:pos="7880" w:val="left"/>
        </w:tabs>
        <w:rPr>
          <w:sz w:val="20"/>
          <w:szCs w:val="20"/>
          <w:color w:val="auto"/>
        </w:rPr>
      </w:pPr>
      <w:r>
        <w:rPr>
          <w:rFonts w:ascii="Arial" w:cs="Arial" w:eastAsia="Arial" w:hAnsi="Arial"/>
          <w:sz w:val="18"/>
          <w:szCs w:val="18"/>
          <w:b w:val="1"/>
          <w:bCs w:val="1"/>
          <w:color w:val="auto"/>
        </w:rPr>
        <w:t>Common Stock, $0.50 Par Value</w:t>
      </w:r>
      <w:r>
        <w:rPr>
          <w:sz w:val="20"/>
          <w:szCs w:val="20"/>
          <w:color w:val="auto"/>
        </w:rPr>
        <w:tab/>
      </w:r>
      <w:r>
        <w:rPr>
          <w:rFonts w:ascii="Arial" w:cs="Arial" w:eastAsia="Arial" w:hAnsi="Arial"/>
          <w:sz w:val="18"/>
          <w:szCs w:val="18"/>
          <w:b w:val="1"/>
          <w:bCs w:val="1"/>
          <w:color w:val="auto"/>
        </w:rPr>
        <w:t>PRG</w:t>
      </w:r>
      <w:r>
        <w:rPr>
          <w:sz w:val="20"/>
          <w:szCs w:val="20"/>
          <w:color w:val="auto"/>
        </w:rPr>
        <w:tab/>
      </w:r>
      <w:r>
        <w:rPr>
          <w:rFonts w:ascii="Arial" w:cs="Arial" w:eastAsia="Arial" w:hAnsi="Arial"/>
          <w:sz w:val="16"/>
          <w:szCs w:val="16"/>
          <w:b w:val="1"/>
          <w:bCs w:val="1"/>
          <w:color w:val="auto"/>
        </w:rPr>
        <w:t>New York Stock Exchange</w:t>
      </w:r>
    </w:p>
    <w:p>
      <w:pPr>
        <w:spacing w:after="0" w:line="33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___________________________________</w:t>
      </w:r>
    </w:p>
    <w:p>
      <w:pPr>
        <w:spacing w:after="0" w:line="232" w:lineRule="exact"/>
        <w:rPr>
          <w:sz w:val="24"/>
          <w:szCs w:val="24"/>
          <w:color w:val="auto"/>
        </w:rPr>
      </w:pPr>
    </w:p>
    <w:p>
      <w:pPr>
        <w:jc w:val="both"/>
        <w:ind w:right="380" w:firstLine="180"/>
        <w:spacing w:after="0" w:line="221" w:lineRule="exact"/>
        <w:rPr>
          <w:sz w:val="20"/>
          <w:szCs w:val="20"/>
          <w:color w:val="auto"/>
        </w:rPr>
      </w:pPr>
      <w:r>
        <w:rPr>
          <w:rFonts w:ascii="Arial" w:cs="Arial" w:eastAsia="Arial" w:hAnsi="Arial"/>
          <w:sz w:val="18"/>
          <w:szCs w:val="18"/>
          <w:color w:val="auto"/>
        </w:rPr>
        <w:t xml:space="preserve">Indicate by check mark whether registrant (l) has filed all reports required to be filed by Section 13 or 15 (d) of the Securities Exchange Act of l934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40" w:firstLine="180"/>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840" w:type="dxa"/>
            <w:vAlign w:val="bottom"/>
            <w:gridSpan w:val="3"/>
          </w:tcPr>
          <w:p>
            <w:pPr>
              <w:spacing w:after="0"/>
              <w:rPr>
                <w:sz w:val="20"/>
                <w:szCs w:val="20"/>
                <w:color w:val="auto"/>
              </w:rPr>
            </w:pPr>
            <w:r>
              <w:rPr>
                <w:rFonts w:ascii="Arial" w:cs="Arial" w:eastAsia="Arial" w:hAnsi="Arial"/>
                <w:sz w:val="18"/>
                <w:szCs w:val="18"/>
                <w:color w:val="auto"/>
                <w:w w:val="96"/>
              </w:rPr>
              <w:t>the definition of "large accelerated filer," "accelerated filer" and "smaller reporting company" in Rule 12b-2 of the Exchange Act. (Check one):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7"/>
        </w:trPr>
        <w:tc>
          <w:tcPr>
            <w:tcW w:w="21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5120" w:type="dxa"/>
            <w:vAlign w:val="bottom"/>
          </w:tcPr>
          <w:p>
            <w:pPr>
              <w:jc w:val="right"/>
              <w:ind w:right="3835"/>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480"/>
              <w:spacing w:after="0"/>
              <w:rPr>
                <w:sz w:val="20"/>
                <w:szCs w:val="20"/>
                <w:color w:val="auto"/>
              </w:rPr>
            </w:pPr>
            <w:r>
              <w:rPr>
                <w:rFonts w:ascii="Arial" w:cs="Arial" w:eastAsia="Arial" w:hAnsi="Arial"/>
                <w:sz w:val="18"/>
                <w:szCs w:val="18"/>
                <w:color w:val="auto"/>
              </w:rPr>
              <w:t>Accelerated Filer</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1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5120" w:type="dxa"/>
            <w:vAlign w:val="bottom"/>
          </w:tcPr>
          <w:p>
            <w:pPr>
              <w:jc w:val="right"/>
              <w:ind w:right="315"/>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80" w:type="dxa"/>
            <w:vAlign w:val="bottom"/>
          </w:tcPr>
          <w:p>
            <w:pPr>
              <w:ind w:left="480"/>
              <w:spacing w:after="0"/>
              <w:rPr>
                <w:sz w:val="20"/>
                <w:szCs w:val="20"/>
                <w:color w:val="auto"/>
              </w:rPr>
            </w:pPr>
            <w:r>
              <w:rPr>
                <w:rFonts w:ascii="Arial" w:cs="Arial" w:eastAsia="Arial" w:hAnsi="Arial"/>
                <w:sz w:val="18"/>
                <w:szCs w:val="18"/>
                <w:color w:val="auto"/>
              </w:rPr>
              <w:t>Smaller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4"/>
        </w:trPr>
        <w:tc>
          <w:tcPr>
            <w:tcW w:w="2140" w:type="dxa"/>
            <w:vAlign w:val="bottom"/>
          </w:tcPr>
          <w:p>
            <w:pPr>
              <w:ind w:left="20"/>
              <w:spacing w:after="0"/>
              <w:rPr>
                <w:sz w:val="20"/>
                <w:szCs w:val="20"/>
                <w:color w:val="auto"/>
              </w:rPr>
            </w:pPr>
            <w:r>
              <w:rPr>
                <w:rFonts w:ascii="Arial" w:cs="Arial" w:eastAsia="Arial" w:hAnsi="Arial"/>
                <w:sz w:val="18"/>
                <w:szCs w:val="18"/>
                <w:color w:val="auto"/>
                <w:w w:val="94"/>
              </w:rPr>
              <w:t>Emerging Growth Company</w:t>
            </w:r>
          </w:p>
        </w:tc>
        <w:tc>
          <w:tcPr>
            <w:tcW w:w="5120" w:type="dxa"/>
            <w:vAlign w:val="bottom"/>
          </w:tcPr>
          <w:p>
            <w:pPr>
              <w:jc w:val="right"/>
              <w:ind w:right="3835"/>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840" w:type="dxa"/>
            <w:vAlign w:val="bottom"/>
            <w:gridSpan w:val="3"/>
          </w:tcPr>
          <w:p>
            <w:pPr>
              <w:ind w:left="20"/>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0"/>
        </w:trPr>
        <w:tc>
          <w:tcPr>
            <w:tcW w:w="10840" w:type="dxa"/>
            <w:vAlign w:val="bottom"/>
            <w:gridSpan w:val="3"/>
          </w:tcPr>
          <w:p>
            <w:pPr>
              <w:ind w:left="20"/>
              <w:spacing w:after="0"/>
              <w:rPr>
                <w:sz w:val="20"/>
                <w:szCs w:val="20"/>
                <w:color w:val="auto"/>
              </w:rPr>
            </w:pPr>
            <w:r>
              <w:rPr>
                <w:rFonts w:ascii="Arial" w:cs="Arial" w:eastAsia="Arial" w:hAnsi="Arial"/>
                <w:sz w:val="18"/>
                <w:szCs w:val="18"/>
                <w:color w:val="auto"/>
              </w:rPr>
              <w:t>new or revised financial accounting standards provided pursuant to Section 7(a)(2)(B) of the Securities Act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10840" w:type="dxa"/>
            <w:vAlign w:val="bottom"/>
            <w:gridSpan w:val="3"/>
          </w:tcPr>
          <w:p>
            <w:pPr>
              <w:ind w:left="1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40" w:type="dxa"/>
            <w:vAlign w:val="bottom"/>
            <w:gridSpan w:val="3"/>
          </w:tcPr>
          <w:p>
            <w:pPr>
              <w:ind w:left="18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5120" w:type="dxa"/>
            <w:vAlign w:val="bottom"/>
            <w:vMerge w:val="restart"/>
          </w:tcPr>
          <w:p>
            <w:pPr>
              <w:jc w:val="right"/>
              <w:ind w:right="3815"/>
              <w:spacing w:after="0"/>
              <w:rPr>
                <w:sz w:val="20"/>
                <w:szCs w:val="20"/>
                <w:color w:val="auto"/>
              </w:rPr>
            </w:pPr>
            <w:r>
              <w:rPr>
                <w:rFonts w:ascii="Arial" w:cs="Arial" w:eastAsia="Arial" w:hAnsi="Arial"/>
                <w:sz w:val="14"/>
                <w:szCs w:val="14"/>
                <w:b w:val="1"/>
                <w:bCs w:val="1"/>
                <w:color w:val="auto"/>
                <w:w w:val="96"/>
              </w:rPr>
              <w:t>Title of Each Class</w:t>
            </w:r>
          </w:p>
        </w:tc>
        <w:tc>
          <w:tcPr>
            <w:tcW w:w="3580" w:type="dxa"/>
            <w:vAlign w:val="bottom"/>
          </w:tcPr>
          <w:p>
            <w:pPr>
              <w:jc w:val="center"/>
              <w:ind w:right="1157"/>
              <w:spacing w:after="0"/>
              <w:rPr>
                <w:sz w:val="20"/>
                <w:szCs w:val="20"/>
                <w:color w:val="auto"/>
              </w:rPr>
            </w:pPr>
            <w:r>
              <w:rPr>
                <w:rFonts w:ascii="Arial" w:cs="Arial" w:eastAsia="Arial" w:hAnsi="Arial"/>
                <w:sz w:val="14"/>
                <w:szCs w:val="14"/>
                <w:b w:val="1"/>
                <w:bCs w:val="1"/>
                <w:color w:val="auto"/>
                <w:w w:val="90"/>
              </w:rPr>
              <w:t>Shares Outstanding as of</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140" w:type="dxa"/>
            <w:vAlign w:val="bottom"/>
          </w:tcPr>
          <w:p>
            <w:pPr>
              <w:spacing w:after="0"/>
              <w:rPr>
                <w:sz w:val="16"/>
                <w:szCs w:val="16"/>
                <w:color w:val="auto"/>
              </w:rPr>
            </w:pPr>
          </w:p>
        </w:tc>
        <w:tc>
          <w:tcPr>
            <w:tcW w:w="5120" w:type="dxa"/>
            <w:vAlign w:val="bottom"/>
            <w:vMerge w:val="continue"/>
          </w:tcPr>
          <w:p>
            <w:pPr>
              <w:spacing w:after="0"/>
              <w:rPr>
                <w:sz w:val="16"/>
                <w:szCs w:val="16"/>
                <w:color w:val="auto"/>
              </w:rPr>
            </w:pPr>
          </w:p>
        </w:tc>
        <w:tc>
          <w:tcPr>
            <w:tcW w:w="3580" w:type="dxa"/>
            <w:vAlign w:val="bottom"/>
          </w:tcPr>
          <w:p>
            <w:pPr>
              <w:jc w:val="center"/>
              <w:ind w:right="1137"/>
              <w:spacing w:after="0"/>
              <w:rPr>
                <w:sz w:val="20"/>
                <w:szCs w:val="20"/>
                <w:color w:val="auto"/>
              </w:rPr>
            </w:pPr>
            <w:r>
              <w:rPr>
                <w:rFonts w:ascii="Arial" w:cs="Arial" w:eastAsia="Arial" w:hAnsi="Arial"/>
                <w:sz w:val="14"/>
                <w:szCs w:val="14"/>
                <w:b w:val="1"/>
                <w:bCs w:val="1"/>
                <w:color w:val="auto"/>
                <w:w w:val="92"/>
              </w:rPr>
              <w:t>October 29, 2021</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260" w:type="dxa"/>
            <w:vAlign w:val="bottom"/>
            <w:gridSpan w:val="2"/>
          </w:tcPr>
          <w:p>
            <w:pPr>
              <w:ind w:left="1600"/>
              <w:spacing w:after="0"/>
              <w:rPr>
                <w:sz w:val="20"/>
                <w:szCs w:val="20"/>
                <w:color w:val="auto"/>
              </w:rPr>
            </w:pPr>
            <w:r>
              <w:rPr>
                <w:rFonts w:ascii="Arial" w:cs="Arial" w:eastAsia="Arial" w:hAnsi="Arial"/>
                <w:sz w:val="18"/>
                <w:szCs w:val="18"/>
                <w:color w:val="auto"/>
              </w:rPr>
              <w:t>Common Stock, $0.50 Par Value</w:t>
            </w:r>
          </w:p>
        </w:tc>
        <w:tc>
          <w:tcPr>
            <w:tcW w:w="3580" w:type="dxa"/>
            <w:vAlign w:val="bottom"/>
          </w:tcPr>
          <w:p>
            <w:pPr>
              <w:jc w:val="center"/>
              <w:ind w:right="1157"/>
              <w:spacing w:after="0"/>
              <w:rPr>
                <w:sz w:val="20"/>
                <w:szCs w:val="20"/>
                <w:color w:val="auto"/>
              </w:rPr>
            </w:pPr>
            <w:r>
              <w:rPr>
                <w:rFonts w:ascii="Arial" w:cs="Arial" w:eastAsia="Arial" w:hAnsi="Arial"/>
                <w:sz w:val="18"/>
                <w:szCs w:val="18"/>
                <w:color w:val="auto"/>
                <w:w w:val="90"/>
              </w:rPr>
              <w:t>65,391,285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200"/>
          </w:cols>
          <w:pgMar w:left="320" w:top="841" w:right="379" w:bottom="892" w:gutter="0" w:footer="0" w:header="0"/>
        </w:sectPr>
      </w:pPr>
    </w:p>
    <w:p>
      <w:pPr>
        <w:spacing w:after="0" w:line="200" w:lineRule="exact"/>
        <w:rPr>
          <w:sz w:val="24"/>
          <w:szCs w:val="24"/>
          <w:color w:val="auto"/>
        </w:rPr>
      </w:pPr>
    </w:p>
    <w:p>
      <w:pPr>
        <w:spacing w:after="0" w:line="274"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41" w:right="379" w:bottom="89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tcBorders>
              <w:bottom w:val="single" w:sz="8" w:color="0000FF"/>
            </w:tcBorders>
            <w:gridSpan w:val="11"/>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768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1076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w:t>
              </w:r>
            </w:hyperlink>
          </w:p>
        </w:tc>
        <w:tc>
          <w:tcPr>
            <w:tcW w:w="460" w:type="dxa"/>
            <w:vAlign w:val="bottom"/>
            <w:gridSpan w:val="4"/>
          </w:tcPr>
          <w:p>
            <w:pPr>
              <w:jc w:val="right"/>
              <w:ind w:right="6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40" w:type="dxa"/>
            <w:vAlign w:val="bottom"/>
            <w:gridSpan w:val="18"/>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 September 30, 2021 (Unaudited) and December 31, 2020</w:t>
              </w:r>
            </w:hyperlink>
          </w:p>
        </w:tc>
        <w:tc>
          <w:tcPr>
            <w:tcW w:w="460" w:type="dxa"/>
            <w:vAlign w:val="bottom"/>
            <w:gridSpan w:val="4"/>
          </w:tcPr>
          <w:p>
            <w:pPr>
              <w:jc w:val="right"/>
              <w:ind w:right="6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540" w:type="dxa"/>
            <w:vAlign w:val="bottom"/>
            <w:gridSpan w:val="16"/>
          </w:tcPr>
          <w:p>
            <w:pPr>
              <w:ind w:left="20"/>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Earnings (Loss) (Unaudited) – Three and Nine Months Ended September 30, 2021 and 2020</w:t>
              </w:r>
            </w:hyperlink>
          </w:p>
        </w:tc>
        <w:tc>
          <w:tcPr>
            <w:tcW w:w="900" w:type="dxa"/>
            <w:vAlign w:val="bottom"/>
            <w:gridSpan w:val="2"/>
          </w:tcPr>
          <w:p>
            <w:pPr>
              <w:spacing w:after="0"/>
              <w:rPr>
                <w:sz w:val="22"/>
                <w:szCs w:val="22"/>
                <w:color w:val="auto"/>
              </w:rPr>
            </w:pPr>
          </w:p>
        </w:tc>
        <w:tc>
          <w:tcPr>
            <w:tcW w:w="460" w:type="dxa"/>
            <w:vAlign w:val="bottom"/>
            <w:gridSpan w:val="4"/>
          </w:tcPr>
          <w:p>
            <w:pPr>
              <w:jc w:val="right"/>
              <w:ind w:right="6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40" w:type="dxa"/>
            <w:vAlign w:val="bottom"/>
            <w:gridSpan w:val="18"/>
          </w:tcPr>
          <w:p>
            <w:pPr>
              <w:ind w:left="20"/>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Condensed Consolidated Statements of Comprehensive Income (Loss) (Unaudited) – Three and Nine Months Ended September 30, 2021 and</w:t>
              </w:r>
            </w:hyperlink>
          </w:p>
        </w:tc>
        <w:tc>
          <w:tcPr>
            <w:tcW w:w="460" w:type="dxa"/>
            <w:vAlign w:val="bottom"/>
            <w:gridSpan w:val="4"/>
          </w:tcPr>
          <w:p>
            <w:pPr>
              <w:jc w:val="right"/>
              <w:ind w:right="6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156"/>
        </w:trPr>
        <w:tc>
          <w:tcPr>
            <w:tcW w:w="340" w:type="dxa"/>
            <w:vAlign w:val="bottom"/>
            <w:gridSpan w:val="2"/>
          </w:tcPr>
          <w:p>
            <w:pPr>
              <w:spacing w:after="0"/>
              <w:rPr>
                <w:sz w:val="13"/>
                <w:szCs w:val="13"/>
                <w:color w:val="auto"/>
              </w:rPr>
            </w:pPr>
          </w:p>
        </w:tc>
        <w:tc>
          <w:tcPr>
            <w:tcW w:w="360" w:type="dxa"/>
            <w:vAlign w:val="bottom"/>
            <w:tcBorders>
              <w:top w:val="single" w:sz="8" w:color="0000FF"/>
              <w:bottom w:val="single" w:sz="8" w:color="0000FF"/>
            </w:tcBorders>
          </w:tcPr>
          <w:p>
            <w:pPr>
              <w:ind w:left="20"/>
              <w:spacing w:after="0" w:line="156"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2020</w:t>
              </w:r>
            </w:hyperlink>
          </w:p>
        </w:tc>
        <w:tc>
          <w:tcPr>
            <w:tcW w:w="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40" w:type="dxa"/>
            <w:vAlign w:val="bottom"/>
            <w:gridSpan w:val="18"/>
          </w:tcPr>
          <w:p>
            <w:pPr>
              <w:ind w:left="20"/>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Statements of Cash Flows (Unaudited) – </w:t>
              </w:r>
            </w:hyperlink>
            <w:r>
              <w:rPr>
                <w:rFonts w:ascii="Arial" w:cs="Arial" w:eastAsia="Arial" w:hAnsi="Arial"/>
                <w:sz w:val="18"/>
                <w:szCs w:val="18"/>
                <w:color w:val="0000FF"/>
              </w:rPr>
              <w:t xml:space="preserve">Nine </w:t>
            </w:r>
            <w:hyperlink w:anchor="page5">
              <w:r>
                <w:rPr>
                  <w:rFonts w:ascii="Arial" w:cs="Arial" w:eastAsia="Arial" w:hAnsi="Arial"/>
                  <w:sz w:val="18"/>
                  <w:szCs w:val="18"/>
                  <w:color w:val="0000FF"/>
                </w:rPr>
                <w:t xml:space="preserve">Months Ended </w:t>
              </w:r>
            </w:hyperlink>
            <w:r>
              <w:rPr>
                <w:rFonts w:ascii="Arial" w:cs="Arial" w:eastAsia="Arial" w:hAnsi="Arial"/>
                <w:sz w:val="18"/>
                <w:szCs w:val="18"/>
                <w:color w:val="0000FF"/>
              </w:rPr>
              <w:t xml:space="preserve">September </w:t>
            </w:r>
            <w:hyperlink w:anchor="page5">
              <w:r>
                <w:rPr>
                  <w:rFonts w:ascii="Arial" w:cs="Arial" w:eastAsia="Arial" w:hAnsi="Arial"/>
                  <w:sz w:val="18"/>
                  <w:szCs w:val="18"/>
                  <w:color w:val="0000FF"/>
                </w:rPr>
                <w:t>30, 2021 and 2020</w:t>
              </w:r>
            </w:hyperlink>
          </w:p>
        </w:tc>
        <w:tc>
          <w:tcPr>
            <w:tcW w:w="460" w:type="dxa"/>
            <w:vAlign w:val="bottom"/>
            <w:gridSpan w:val="4"/>
          </w:tcPr>
          <w:p>
            <w:pPr>
              <w:jc w:val="right"/>
              <w:ind w:right="6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920" w:type="dxa"/>
            <w:vAlign w:val="bottom"/>
            <w:gridSpan w:val="12"/>
          </w:tcPr>
          <w:p>
            <w:pPr>
              <w:ind w:left="20"/>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Notes to Condensed Consolidated Financial Statements (Unaudited)</w:t>
              </w:r>
            </w:hyperlink>
          </w:p>
        </w:tc>
        <w:tc>
          <w:tcPr>
            <w:tcW w:w="3540" w:type="dxa"/>
            <w:vAlign w:val="bottom"/>
            <w:gridSpan w:val="3"/>
          </w:tcPr>
          <w:p>
            <w:pPr>
              <w:spacing w:after="0"/>
              <w:rPr>
                <w:sz w:val="22"/>
                <w:szCs w:val="22"/>
                <w:color w:val="auto"/>
              </w:rPr>
            </w:pPr>
          </w:p>
        </w:tc>
        <w:tc>
          <w:tcPr>
            <w:tcW w:w="1980" w:type="dxa"/>
            <w:vAlign w:val="bottom"/>
            <w:gridSpan w:val="3"/>
          </w:tcPr>
          <w:p>
            <w:pPr>
              <w:spacing w:after="0"/>
              <w:rPr>
                <w:sz w:val="22"/>
                <w:szCs w:val="22"/>
                <w:color w:val="auto"/>
              </w:rPr>
            </w:pPr>
          </w:p>
        </w:tc>
        <w:tc>
          <w:tcPr>
            <w:tcW w:w="460" w:type="dxa"/>
            <w:vAlign w:val="bottom"/>
            <w:gridSpan w:val="4"/>
          </w:tcPr>
          <w:p>
            <w:pPr>
              <w:jc w:val="right"/>
              <w:ind w:right="6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020" w:type="dxa"/>
            <w:vAlign w:val="bottom"/>
            <w:gridSpan w:val="14"/>
          </w:tcPr>
          <w:p>
            <w:pPr>
              <w:spacing w:after="0"/>
              <w:rPr>
                <w:rFonts w:ascii="Arial" w:cs="Arial" w:eastAsia="Arial" w:hAnsi="Arial"/>
                <w:sz w:val="18"/>
                <w:szCs w:val="18"/>
                <w:color w:val="0000FF"/>
                <w:w w:val="91"/>
              </w:rPr>
            </w:pPr>
            <w:hyperlink w:anchor="page23">
              <w:r>
                <w:rPr>
                  <w:rFonts w:ascii="Arial" w:cs="Arial" w:eastAsia="Arial" w:hAnsi="Arial"/>
                  <w:sz w:val="18"/>
                  <w:szCs w:val="18"/>
                  <w:color w:val="0000FF"/>
                  <w:w w:val="91"/>
                </w:rPr>
                <w:t>Item 2. Management’s Discussion and Analysis of Financial Condition and Results of Operations</w:t>
              </w:r>
            </w:hyperlink>
          </w:p>
        </w:tc>
        <w:tc>
          <w:tcPr>
            <w:tcW w:w="3740" w:type="dxa"/>
            <w:vAlign w:val="bottom"/>
            <w:gridSpan w:val="5"/>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24</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900" w:type="dxa"/>
            <w:vAlign w:val="bottom"/>
            <w:gridSpan w:val="12"/>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Item 3. Quantitative and Qualitative Disclosures About Market Risk</w:t>
              </w:r>
            </w:hyperlink>
          </w:p>
        </w:tc>
        <w:tc>
          <w:tcPr>
            <w:tcW w:w="2120" w:type="dxa"/>
            <w:vAlign w:val="bottom"/>
            <w:gridSpan w:val="2"/>
          </w:tcPr>
          <w:p>
            <w:pPr>
              <w:spacing w:after="0"/>
              <w:rPr>
                <w:sz w:val="22"/>
                <w:szCs w:val="22"/>
                <w:color w:val="auto"/>
              </w:rPr>
            </w:pPr>
          </w:p>
        </w:tc>
        <w:tc>
          <w:tcPr>
            <w:tcW w:w="3740" w:type="dxa"/>
            <w:vAlign w:val="bottom"/>
            <w:gridSpan w:val="5"/>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320" w:type="dxa"/>
            <w:vAlign w:val="bottom"/>
            <w:gridSpan w:val="8"/>
          </w:tcPr>
          <w:p>
            <w:pPr>
              <w:spacing w:after="0"/>
              <w:rPr>
                <w:rFonts w:ascii="Arial" w:cs="Arial" w:eastAsia="Arial" w:hAnsi="Arial"/>
                <w:sz w:val="18"/>
                <w:szCs w:val="18"/>
                <w:color w:val="0000FF"/>
                <w:w w:val="87"/>
              </w:rPr>
            </w:pPr>
            <w:hyperlink w:anchor="page37">
              <w:r>
                <w:rPr>
                  <w:rFonts w:ascii="Arial" w:cs="Arial" w:eastAsia="Arial" w:hAnsi="Arial"/>
                  <w:sz w:val="18"/>
                  <w:szCs w:val="18"/>
                  <w:color w:val="0000FF"/>
                  <w:w w:val="87"/>
                </w:rPr>
                <w:t>Item 4. Controls and Procedures</w:t>
              </w:r>
            </w:hyperlink>
          </w:p>
        </w:tc>
        <w:tc>
          <w:tcPr>
            <w:tcW w:w="2580" w:type="dxa"/>
            <w:vAlign w:val="bottom"/>
            <w:gridSpan w:val="4"/>
          </w:tcPr>
          <w:p>
            <w:pPr>
              <w:spacing w:after="0"/>
              <w:rPr>
                <w:sz w:val="22"/>
                <w:szCs w:val="22"/>
                <w:color w:val="auto"/>
              </w:rPr>
            </w:pPr>
          </w:p>
        </w:tc>
        <w:tc>
          <w:tcPr>
            <w:tcW w:w="5860" w:type="dxa"/>
            <w:vAlign w:val="bottom"/>
            <w:gridSpan w:val="7"/>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38</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780" w:type="dxa"/>
            <w:vAlign w:val="bottom"/>
            <w:tcBorders>
              <w:bottom w:val="single" w:sz="8" w:color="0000FF"/>
            </w:tcBorders>
            <w:gridSpan w:val="9"/>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PART II. OTHER INFORMATION</w:t>
              </w:r>
            </w:hyperlink>
          </w:p>
        </w:tc>
        <w:tc>
          <w:tcPr>
            <w:tcW w:w="7980" w:type="dxa"/>
            <w:vAlign w:val="bottom"/>
            <w:gridSpan w:val="10"/>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880" w:type="dxa"/>
            <w:vAlign w:val="bottom"/>
            <w:gridSpan w:val="6"/>
          </w:tcPr>
          <w:p>
            <w:pPr>
              <w:spacing w:after="0"/>
              <w:rPr>
                <w:rFonts w:ascii="Arial" w:cs="Arial" w:eastAsia="Arial" w:hAnsi="Arial"/>
                <w:sz w:val="18"/>
                <w:szCs w:val="18"/>
                <w:color w:val="0000FF"/>
                <w:w w:val="87"/>
              </w:rPr>
            </w:pPr>
            <w:hyperlink w:anchor="page39">
              <w:r>
                <w:rPr>
                  <w:rFonts w:ascii="Arial" w:cs="Arial" w:eastAsia="Arial" w:hAnsi="Arial"/>
                  <w:sz w:val="18"/>
                  <w:szCs w:val="18"/>
                  <w:color w:val="0000FF"/>
                  <w:w w:val="87"/>
                </w:rPr>
                <w:t>Item 1. Legal Proceedings</w:t>
              </w:r>
            </w:hyperlink>
          </w:p>
        </w:tc>
        <w:tc>
          <w:tcPr>
            <w:tcW w:w="8880" w:type="dxa"/>
            <w:vAlign w:val="bottom"/>
            <w:gridSpan w:val="13"/>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0" w:type="dxa"/>
            <w:vAlign w:val="bottom"/>
            <w:gridSpan w:val="5"/>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Item 1A. Risk Factors</w:t>
              </w:r>
            </w:hyperlink>
          </w:p>
        </w:tc>
        <w:tc>
          <w:tcPr>
            <w:tcW w:w="280" w:type="dxa"/>
            <w:vAlign w:val="bottom"/>
          </w:tcPr>
          <w:p>
            <w:pPr>
              <w:spacing w:after="0"/>
              <w:rPr>
                <w:sz w:val="22"/>
                <w:szCs w:val="22"/>
                <w:color w:val="auto"/>
              </w:rPr>
            </w:pPr>
          </w:p>
        </w:tc>
        <w:tc>
          <w:tcPr>
            <w:tcW w:w="8880" w:type="dxa"/>
            <w:vAlign w:val="bottom"/>
            <w:gridSpan w:val="13"/>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760" w:type="dxa"/>
            <w:vAlign w:val="bottom"/>
            <w:gridSpan w:val="19"/>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2. Unregistered Sales of Equity Securities and Use of Proceeds</w:t>
              </w:r>
            </w:hyperlink>
          </w:p>
        </w:tc>
        <w:tc>
          <w:tcPr>
            <w:tcW w:w="460" w:type="dxa"/>
            <w:vAlign w:val="bottom"/>
            <w:gridSpan w:val="4"/>
          </w:tcPr>
          <w:p>
            <w:pPr>
              <w:jc w:val="right"/>
              <w:ind w:right="6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900" w:type="dxa"/>
            <w:vAlign w:val="bottom"/>
            <w:gridSpan w:val="12"/>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3. Defaults Upon Senior Securities</w:t>
              </w:r>
            </w:hyperlink>
          </w:p>
        </w:tc>
        <w:tc>
          <w:tcPr>
            <w:tcW w:w="5860" w:type="dxa"/>
            <w:vAlign w:val="bottom"/>
            <w:gridSpan w:val="7"/>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880" w:type="dxa"/>
            <w:vAlign w:val="bottom"/>
            <w:gridSpan w:val="10"/>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4. Mine Safety Disclosures</w:t>
              </w:r>
            </w:hyperlink>
          </w:p>
        </w:tc>
        <w:tc>
          <w:tcPr>
            <w:tcW w:w="7880" w:type="dxa"/>
            <w:vAlign w:val="bottom"/>
            <w:gridSpan w:val="9"/>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8440" w:type="dxa"/>
            <w:vAlign w:val="bottom"/>
            <w:gridSpan w:val="1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880" w:type="dxa"/>
            <w:vAlign w:val="bottom"/>
            <w:gridSpan w:val="6"/>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Item 5. Other Information</w:t>
              </w:r>
            </w:hyperlink>
          </w:p>
        </w:tc>
        <w:tc>
          <w:tcPr>
            <w:tcW w:w="440" w:type="dxa"/>
            <w:vAlign w:val="bottom"/>
            <w:gridSpan w:val="2"/>
          </w:tcPr>
          <w:p>
            <w:pPr>
              <w:spacing w:after="0"/>
              <w:rPr>
                <w:sz w:val="22"/>
                <w:szCs w:val="22"/>
                <w:color w:val="auto"/>
              </w:rPr>
            </w:pPr>
          </w:p>
        </w:tc>
        <w:tc>
          <w:tcPr>
            <w:tcW w:w="8440" w:type="dxa"/>
            <w:vAlign w:val="bottom"/>
            <w:gridSpan w:val="11"/>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880" w:type="dxa"/>
            <w:vAlign w:val="bottom"/>
            <w:gridSpan w:val="1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880" w:type="dxa"/>
            <w:vAlign w:val="bottom"/>
            <w:gridSpan w:val="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6. Exhibits</w:t>
              </w:r>
            </w:hyperlink>
          </w:p>
        </w:tc>
        <w:tc>
          <w:tcPr>
            <w:tcW w:w="8880" w:type="dxa"/>
            <w:vAlign w:val="bottom"/>
            <w:gridSpan w:val="13"/>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40</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0" w:type="dxa"/>
            <w:vAlign w:val="bottom"/>
            <w:gridSpan w:val="1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160" w:type="dxa"/>
            <w:vAlign w:val="bottom"/>
            <w:gridSpan w:val="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Signatures</w:t>
              </w:r>
            </w:hyperlink>
          </w:p>
        </w:tc>
        <w:tc>
          <w:tcPr>
            <w:tcW w:w="9600" w:type="dxa"/>
            <w:vAlign w:val="bottom"/>
            <w:gridSpan w:val="15"/>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41</w:t>
              </w:r>
            </w:hyperlink>
          </w:p>
        </w:tc>
      </w:tr>
      <w:tr>
        <w:trPr>
          <w:trHeight w:val="925"/>
        </w:trPr>
        <w:tc>
          <w:tcPr>
            <w:tcW w:w="2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6260" w:type="dxa"/>
            <w:vAlign w:val="bottom"/>
            <w:gridSpan w:val="11"/>
          </w:tcPr>
          <w:p>
            <w:pPr>
              <w:jc w:val="right"/>
              <w:ind w:right="138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center"/>
              <w:ind w:right="273"/>
              <w:spacing w:after="0"/>
              <w:rPr>
                <w:sz w:val="20"/>
                <w:szCs w:val="20"/>
                <w:color w:val="auto"/>
              </w:rPr>
            </w:pPr>
            <w:r>
              <w:rPr>
                <w:rFonts w:ascii="Arial" w:cs="Arial" w:eastAsia="Arial" w:hAnsi="Arial"/>
                <w:sz w:val="14"/>
                <w:szCs w:val="14"/>
                <w:b w:val="1"/>
                <w:bCs w:val="1"/>
                <w:color w:val="auto"/>
                <w:w w:val="95"/>
              </w:rPr>
              <w:t>(Unaudited)</w:t>
            </w:r>
          </w:p>
        </w:tc>
        <w:tc>
          <w:tcPr>
            <w:tcW w:w="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tcPr>
          <w:p>
            <w:pPr>
              <w:jc w:val="center"/>
              <w:ind w:right="253"/>
              <w:spacing w:after="0" w:line="147" w:lineRule="exact"/>
              <w:rPr>
                <w:sz w:val="20"/>
                <w:szCs w:val="20"/>
                <w:color w:val="auto"/>
              </w:rPr>
            </w:pPr>
            <w:r>
              <w:rPr>
                <w:rFonts w:ascii="Arial" w:cs="Arial" w:eastAsia="Arial" w:hAnsi="Arial"/>
                <w:sz w:val="14"/>
                <w:szCs w:val="14"/>
                <w:b w:val="1"/>
                <w:bCs w:val="1"/>
                <w:color w:val="auto"/>
                <w:w w:val="91"/>
              </w:rPr>
              <w:t>September 30,</w:t>
            </w:r>
          </w:p>
        </w:tc>
        <w:tc>
          <w:tcPr>
            <w:tcW w:w="360" w:type="dxa"/>
            <w:vAlign w:val="bottom"/>
          </w:tcPr>
          <w:p>
            <w:pPr>
              <w:spacing w:after="0"/>
              <w:rPr>
                <w:sz w:val="12"/>
                <w:szCs w:val="12"/>
                <w:color w:val="auto"/>
              </w:rPr>
            </w:pPr>
          </w:p>
        </w:tc>
        <w:tc>
          <w:tcPr>
            <w:tcW w:w="1540" w:type="dxa"/>
            <w:vAlign w:val="bottom"/>
          </w:tcPr>
          <w:p>
            <w:pPr>
              <w:jc w:val="right"/>
              <w:ind w:right="411"/>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2021</w:t>
            </w: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20" w:type="dxa"/>
            <w:vAlign w:val="bottom"/>
            <w:gridSpan w:val="3"/>
          </w:tcPr>
          <w:p>
            <w:pPr>
              <w:jc w:val="right"/>
              <w:ind w:right="731"/>
              <w:spacing w:after="0"/>
              <w:rPr>
                <w:sz w:val="20"/>
                <w:szCs w:val="20"/>
                <w:color w:val="auto"/>
              </w:rPr>
            </w:pPr>
            <w:r>
              <w:rPr>
                <w:rFonts w:ascii="Arial" w:cs="Arial" w:eastAsia="Arial" w:hAnsi="Arial"/>
                <w:sz w:val="14"/>
                <w:szCs w:val="14"/>
                <w:b w:val="1"/>
                <w:bCs w:val="1"/>
                <w:color w:val="auto"/>
              </w:rPr>
              <w:t>(In Thousands, Except Share Data)</w:t>
            </w:r>
          </w:p>
        </w:tc>
        <w:tc>
          <w:tcPr>
            <w:tcW w:w="0" w:type="dxa"/>
            <w:vAlign w:val="bottom"/>
          </w:tcPr>
          <w:p>
            <w:pPr>
              <w:spacing w:after="0"/>
              <w:rPr>
                <w:sz w:val="1"/>
                <w:szCs w:val="1"/>
                <w:color w:val="auto"/>
              </w:rPr>
            </w:pPr>
          </w:p>
        </w:tc>
      </w:tr>
      <w:tr>
        <w:trPr>
          <w:trHeight w:val="231"/>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128,788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36,645</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 of allowances of $60,578 in 2021 and $56,364 in 2020)</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67,447</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61,254</w:t>
            </w:r>
          </w:p>
        </w:tc>
        <w:tc>
          <w:tcPr>
            <w:tcW w:w="0" w:type="dxa"/>
            <w:vAlign w:val="bottom"/>
          </w:tcPr>
          <w:p>
            <w:pPr>
              <w:spacing w:after="0"/>
              <w:rPr>
                <w:sz w:val="1"/>
                <w:szCs w:val="1"/>
                <w:color w:val="auto"/>
              </w:rPr>
            </w:pPr>
          </w:p>
        </w:tc>
      </w:tr>
      <w:tr>
        <w:trPr>
          <w:trHeight w:val="176"/>
        </w:trPr>
        <w:tc>
          <w:tcPr>
            <w:tcW w:w="7440" w:type="dxa"/>
            <w:vAlign w:val="bottom"/>
          </w:tcPr>
          <w:p>
            <w:pPr>
              <w:ind w:left="220"/>
              <w:spacing w:after="0" w:line="176" w:lineRule="exact"/>
              <w:rPr>
                <w:sz w:val="20"/>
                <w:szCs w:val="20"/>
                <w:color w:val="auto"/>
              </w:rPr>
            </w:pPr>
            <w:r>
              <w:rPr>
                <w:rFonts w:ascii="Arial" w:cs="Arial" w:eastAsia="Arial" w:hAnsi="Arial"/>
                <w:sz w:val="18"/>
                <w:szCs w:val="18"/>
                <w:color w:val="auto"/>
                <w:w w:val="95"/>
              </w:rPr>
              <w:t>Lease Merchandise (net of accumulated depreciation and allowances of $453,555 in 2021 and</w:t>
            </w:r>
          </w:p>
        </w:tc>
        <w:tc>
          <w:tcPr>
            <w:tcW w:w="280" w:type="dxa"/>
            <w:vAlign w:val="bottom"/>
          </w:tcPr>
          <w:p>
            <w:pPr>
              <w:spacing w:after="0"/>
              <w:rPr>
                <w:sz w:val="15"/>
                <w:szCs w:val="15"/>
                <w:color w:val="auto"/>
              </w:rPr>
            </w:pPr>
          </w:p>
        </w:tc>
        <w:tc>
          <w:tcPr>
            <w:tcW w:w="1620" w:type="dxa"/>
            <w:vAlign w:val="bottom"/>
            <w:vMerge w:val="restart"/>
          </w:tcPr>
          <w:p>
            <w:pPr>
              <w:jc w:val="right"/>
              <w:ind w:right="33"/>
              <w:spacing w:after="0"/>
              <w:rPr>
                <w:sz w:val="20"/>
                <w:szCs w:val="20"/>
                <w:color w:val="auto"/>
              </w:rPr>
            </w:pPr>
            <w:r>
              <w:rPr>
                <w:rFonts w:ascii="Arial" w:cs="Arial" w:eastAsia="Arial" w:hAnsi="Arial"/>
                <w:sz w:val="18"/>
                <w:szCs w:val="18"/>
                <w:color w:val="auto"/>
              </w:rPr>
              <w:t>588,733</w:t>
            </w:r>
          </w:p>
        </w:tc>
        <w:tc>
          <w:tcPr>
            <w:tcW w:w="36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610,263</w:t>
            </w: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Arial" w:cs="Arial" w:eastAsia="Arial" w:hAnsi="Arial"/>
                <w:sz w:val="18"/>
                <w:szCs w:val="18"/>
                <w:color w:val="auto"/>
              </w:rPr>
              <w:t>$409,307 in 2020)</w:t>
            </w:r>
          </w:p>
        </w:tc>
        <w:tc>
          <w:tcPr>
            <w:tcW w:w="28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4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Loans Receivable (net of allowances and unamortized fees of $57,578 in 2021 and $52,274 in</w:t>
            </w:r>
          </w:p>
        </w:tc>
        <w:tc>
          <w:tcPr>
            <w:tcW w:w="28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112,784</w:t>
            </w:r>
          </w:p>
        </w:tc>
        <w:tc>
          <w:tcPr>
            <w:tcW w:w="36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79,148</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9"/>
                <w:szCs w:val="19"/>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25,806</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26,705</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17,862</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20,613</w:t>
            </w: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306,649</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288,801</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Intangibles, Net</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143,029</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154,421</w:t>
            </w: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Arial" w:cs="Arial" w:eastAsia="Arial" w:hAnsi="Arial"/>
                <w:sz w:val="18"/>
                <w:szCs w:val="18"/>
                <w:color w:val="auto"/>
              </w:rPr>
              <w:t>Income Tax Receivable</w:t>
            </w:r>
          </w:p>
        </w:tc>
        <w:tc>
          <w:tcPr>
            <w:tcW w:w="280" w:type="dxa"/>
            <w:vAlign w:val="bottom"/>
          </w:tcPr>
          <w:p>
            <w:pPr>
              <w:spacing w:after="0"/>
              <w:rPr>
                <w:sz w:val="19"/>
                <w:szCs w:val="19"/>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18,890</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44,270</w:t>
            </w: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39,554</w:t>
            </w:r>
          </w:p>
        </w:tc>
        <w:tc>
          <w:tcPr>
            <w:tcW w:w="0" w:type="dxa"/>
            <w:vAlign w:val="bottom"/>
          </w:tcPr>
          <w:p>
            <w:pPr>
              <w:spacing w:after="0"/>
              <w:rPr>
                <w:sz w:val="1"/>
                <w:szCs w:val="1"/>
                <w:color w:val="auto"/>
              </w:rPr>
            </w:pPr>
          </w:p>
        </w:tc>
      </w:tr>
      <w:tr>
        <w:trPr>
          <w:trHeight w:val="223"/>
        </w:trPr>
        <w:tc>
          <w:tcPr>
            <w:tcW w:w="744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1,454,258</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1,317,404</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&amp; SHAREHOLDERS’ EQUITY:</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116,813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78,249</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Liability</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145,161</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126,938</w:t>
            </w: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Arial" w:cs="Arial" w:eastAsia="Arial" w:hAnsi="Arial"/>
                <w:sz w:val="18"/>
                <w:szCs w:val="18"/>
                <w:color w:val="auto"/>
              </w:rPr>
              <w:t>Customer Deposits and Advance Payments</w:t>
            </w:r>
          </w:p>
        </w:tc>
        <w:tc>
          <w:tcPr>
            <w:tcW w:w="280" w:type="dxa"/>
            <w:vAlign w:val="bottom"/>
          </w:tcPr>
          <w:p>
            <w:pPr>
              <w:spacing w:after="0"/>
              <w:rPr>
                <w:sz w:val="19"/>
                <w:szCs w:val="19"/>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39,765</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46,565</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26,063</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29,516</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Debt</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50,000</w:t>
            </w: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377,802</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331,268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Commitments and Contingencies (Note 6)</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440" w:type="dxa"/>
            <w:vAlign w:val="bottom"/>
          </w:tcPr>
          <w:p>
            <w:pPr>
              <w:ind w:left="220"/>
              <w:spacing w:after="0" w:line="176" w:lineRule="exact"/>
              <w:rPr>
                <w:sz w:val="20"/>
                <w:szCs w:val="20"/>
                <w:color w:val="auto"/>
              </w:rPr>
            </w:pPr>
            <w:r>
              <w:rPr>
                <w:rFonts w:ascii="Arial" w:cs="Arial" w:eastAsia="Arial" w:hAnsi="Arial"/>
                <w:sz w:val="18"/>
                <w:szCs w:val="18"/>
                <w:color w:val="auto"/>
                <w:w w:val="89"/>
              </w:rPr>
              <w:t>Common Stock, Par Value $0.50 Per Share: Authorized: 225,000,000 Shares at September 30, 2021</w:t>
            </w:r>
          </w:p>
        </w:tc>
        <w:tc>
          <w:tcPr>
            <w:tcW w:w="280" w:type="dxa"/>
            <w:vAlign w:val="bottom"/>
          </w:tcPr>
          <w:p>
            <w:pPr>
              <w:spacing w:after="0"/>
              <w:rPr>
                <w:sz w:val="15"/>
                <w:szCs w:val="15"/>
                <w:color w:val="auto"/>
              </w:rPr>
            </w:pPr>
          </w:p>
        </w:tc>
        <w:tc>
          <w:tcPr>
            <w:tcW w:w="1620" w:type="dxa"/>
            <w:vAlign w:val="bottom"/>
            <w:vMerge w:val="restart"/>
          </w:tcPr>
          <w:p>
            <w:pPr>
              <w:jc w:val="right"/>
              <w:ind w:right="33"/>
              <w:spacing w:after="0"/>
              <w:rPr>
                <w:sz w:val="20"/>
                <w:szCs w:val="20"/>
                <w:color w:val="auto"/>
              </w:rPr>
            </w:pPr>
            <w:r>
              <w:rPr>
                <w:rFonts w:ascii="Arial" w:cs="Arial" w:eastAsia="Arial" w:hAnsi="Arial"/>
                <w:sz w:val="18"/>
                <w:szCs w:val="18"/>
                <w:color w:val="auto"/>
              </w:rPr>
              <w:t>45,376</w:t>
            </w:r>
          </w:p>
        </w:tc>
        <w:tc>
          <w:tcPr>
            <w:tcW w:w="36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45,376</w:t>
            </w: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Arial" w:cs="Arial" w:eastAsia="Arial" w:hAnsi="Arial"/>
                <w:sz w:val="18"/>
                <w:szCs w:val="18"/>
                <w:color w:val="auto"/>
                <w:w w:val="89"/>
              </w:rPr>
              <w:t>and December 31, 2020; Shares Issued: 90,752,123 at September 30, 2021 and December 31, 2020</w:t>
            </w:r>
          </w:p>
        </w:tc>
        <w:tc>
          <w:tcPr>
            <w:tcW w:w="28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325,309</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318,263</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1,442,116</w:t>
            </w: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1,236,378</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1,812,801</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1,600,017</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Less: Treasury Shares at Cost</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Common Stock: 25,360,538 Shares at September 30, 2021 and 23,029,434 at December 31, 2020</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(736,345)</w:t>
            </w: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(613,881)</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1,076,456</w:t>
            </w: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986,136</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&amp; Shareholders’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1,454,258</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1,317,404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jc w:val="right"/>
              <w:ind w:right="731"/>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931"/>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3"/>
        </w:trPr>
        <w:tc>
          <w:tcPr>
            <w:tcW w:w="5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w w:val="95"/>
              </w:rPr>
              <w:t>(In Thousands, Except Per Share Data)</w:t>
            </w: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60"/>
              <w:spacing w:after="0"/>
              <w:rPr>
                <w:sz w:val="20"/>
                <w:szCs w:val="20"/>
                <w:color w:val="auto"/>
              </w:rPr>
            </w:pPr>
            <w:r>
              <w:rPr>
                <w:rFonts w:ascii="Arial" w:cs="Arial" w:eastAsia="Arial" w:hAnsi="Arial"/>
                <w:sz w:val="18"/>
                <w:szCs w:val="18"/>
                <w:color w:val="auto"/>
              </w:rPr>
              <w:t>Lease Revenues and Fees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635,025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601,105</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1,989,055</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1,849,388</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Fees on Loans Receivable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15,380</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10,232</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42,322</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29,555</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650,405</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611,337</w:t>
            </w:r>
          </w:p>
        </w:tc>
        <w:tc>
          <w:tcPr>
            <w:tcW w:w="3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2,031,377</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1,878,943</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60"/>
              <w:spacing w:after="0"/>
              <w:rPr>
                <w:sz w:val="20"/>
                <w:szCs w:val="20"/>
                <w:color w:val="auto"/>
              </w:rPr>
            </w:pPr>
            <w:r>
              <w:rPr>
                <w:rFonts w:ascii="Arial" w:cs="Arial" w:eastAsia="Arial" w:hAnsi="Arial"/>
                <w:sz w:val="18"/>
                <w:szCs w:val="18"/>
                <w:color w:val="auto"/>
              </w:rPr>
              <w:t>Depreciation of Lease Merchandise</w:t>
            </w:r>
          </w:p>
        </w:tc>
        <w:tc>
          <w:tcPr>
            <w:tcW w:w="34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435,857</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405,235</w:t>
            </w:r>
          </w:p>
        </w:tc>
        <w:tc>
          <w:tcPr>
            <w:tcW w:w="3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1,380,572</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1,289,885</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Lease Merchandise Write-offs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34,174</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12,578</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84,072</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104,443</w:t>
            </w:r>
          </w:p>
        </w:tc>
        <w:tc>
          <w:tcPr>
            <w:tcW w:w="0" w:type="dxa"/>
            <w:vAlign w:val="bottom"/>
          </w:tcPr>
          <w:p>
            <w:pPr>
              <w:spacing w:after="0"/>
              <w:rPr>
                <w:sz w:val="1"/>
                <w:szCs w:val="1"/>
                <w:color w:val="auto"/>
              </w:rPr>
            </w:pPr>
          </w:p>
        </w:tc>
      </w:tr>
      <w:tr>
        <w:trPr>
          <w:trHeight w:val="229"/>
        </w:trPr>
        <w:tc>
          <w:tcPr>
            <w:tcW w:w="5260" w:type="dxa"/>
            <w:vAlign w:val="bottom"/>
          </w:tcPr>
          <w:p>
            <w:pPr>
              <w:ind w:left="36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102,053</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95,433</w:t>
            </w:r>
          </w:p>
        </w:tc>
        <w:tc>
          <w:tcPr>
            <w:tcW w:w="3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289,994</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276,935</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Separation Related Charges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572,084</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515,689</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1,754,638</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1,673,706</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78,321</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95,648</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276,739</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205,237</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52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EARNINGS FROM CONTINUING OPERATIONS BEFORE</w:t>
            </w:r>
          </w:p>
        </w:tc>
        <w:tc>
          <w:tcPr>
            <w:tcW w:w="3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77,877</w:t>
            </w:r>
          </w:p>
        </w:tc>
        <w:tc>
          <w:tcPr>
            <w:tcW w:w="22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95,648</w:t>
            </w:r>
          </w:p>
        </w:tc>
        <w:tc>
          <w:tcPr>
            <w:tcW w:w="3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275,347</w:t>
            </w:r>
          </w:p>
        </w:tc>
        <w:tc>
          <w:tcPr>
            <w:tcW w:w="6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205,237</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w:t>
            </w:r>
          </w:p>
        </w:tc>
        <w:tc>
          <w:tcPr>
            <w:tcW w:w="3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20,464</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21,005</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69,609</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13,915</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FROM CONTINUING OPERATIONS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57,413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74,643</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205,738</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191,322</w:t>
            </w:r>
          </w:p>
        </w:tc>
        <w:tc>
          <w:tcPr>
            <w:tcW w:w="0" w:type="dxa"/>
            <w:vAlign w:val="bottom"/>
          </w:tcPr>
          <w:p>
            <w:pPr>
              <w:spacing w:after="0"/>
              <w:rPr>
                <w:sz w:val="1"/>
                <w:szCs w:val="1"/>
                <w:color w:val="auto"/>
              </w:rPr>
            </w:pPr>
          </w:p>
        </w:tc>
      </w:tr>
      <w:tr>
        <w:trPr>
          <w:trHeight w:val="176"/>
        </w:trPr>
        <w:tc>
          <w:tcPr>
            <w:tcW w:w="52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EARNINGS (LOSS) FROM DISCONTINUED OPERATIONS,</w:t>
            </w:r>
          </w:p>
        </w:tc>
        <w:tc>
          <w:tcPr>
            <w:tcW w:w="340" w:type="dxa"/>
            <w:vAlign w:val="bottom"/>
          </w:tcPr>
          <w:p>
            <w:pPr>
              <w:spacing w:after="0"/>
              <w:rPr>
                <w:sz w:val="15"/>
                <w:szCs w:val="15"/>
                <w:color w:val="auto"/>
              </w:rPr>
            </w:pPr>
          </w:p>
        </w:tc>
        <w:tc>
          <w:tcPr>
            <w:tcW w:w="116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34,702</w:t>
            </w:r>
          </w:p>
        </w:tc>
        <w:tc>
          <w:tcPr>
            <w:tcW w:w="380" w:type="dxa"/>
            <w:vAlign w:val="bottom"/>
          </w:tcPr>
          <w:p>
            <w:pPr>
              <w:spacing w:after="0"/>
              <w:rPr>
                <w:sz w:val="15"/>
                <w:szCs w:val="15"/>
                <w:color w:val="auto"/>
              </w:rPr>
            </w:pPr>
          </w:p>
        </w:tc>
        <w:tc>
          <w:tcPr>
            <w:tcW w:w="114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(293,605)</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OF INCOME TAX</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57,413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109,345</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205,738</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(102,283)</w:t>
            </w:r>
          </w:p>
        </w:tc>
        <w:tc>
          <w:tcPr>
            <w:tcW w:w="0" w:type="dxa"/>
            <w:vAlign w:val="bottom"/>
          </w:tcPr>
          <w:p>
            <w:pPr>
              <w:spacing w:after="0"/>
              <w:rPr>
                <w:sz w:val="1"/>
                <w:szCs w:val="1"/>
                <w:color w:val="auto"/>
              </w:rPr>
            </w:pPr>
          </w:p>
        </w:tc>
      </w:tr>
      <w:tr>
        <w:trPr>
          <w:trHeight w:val="210"/>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Continuing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3.07</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Discontinued Operations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BASIC EARNINGS (LOSS) PER SHARE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3.07</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Continuing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3.06</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Discontinued Operations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DILUTED EARNINGS (LOSS) PER SHARE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3.06</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57"/>
        </w:trPr>
        <w:tc>
          <w:tcPr>
            <w:tcW w:w="5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66,092</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67,398</w:t>
            </w:r>
          </w:p>
        </w:tc>
        <w:tc>
          <w:tcPr>
            <w:tcW w:w="3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66,938</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67,107</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Assuming Dilution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66,385</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68,155</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67,319</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67,849</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3"/>
          </w:tcPr>
          <w:p>
            <w:pPr>
              <w:jc w:val="right"/>
              <w:ind w:right="754"/>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86"/>
        </w:trPr>
        <w:tc>
          <w:tcPr>
            <w:tcW w:w="5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4"/>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57,413</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109,345</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205,738</w:t>
            </w:r>
          </w:p>
        </w:tc>
        <w:tc>
          <w:tcPr>
            <w:tcW w:w="6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(102,283)</w:t>
            </w: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r>
      <w:tr>
        <w:trPr>
          <w:trHeight w:val="223"/>
        </w:trPr>
        <w:tc>
          <w:tcPr>
            <w:tcW w:w="5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Comprehensive Income (Loss)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57,413</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109,543</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205,738</w:t>
            </w:r>
          </w:p>
        </w:tc>
        <w:tc>
          <w:tcPr>
            <w:tcW w:w="6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(103,508)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8" w:lineRule="exact"/>
        <w:rPr>
          <w:sz w:val="20"/>
          <w:szCs w:val="20"/>
          <w:color w:val="auto"/>
        </w:rPr>
      </w:pPr>
    </w:p>
    <w:p>
      <w:pPr>
        <w:jc w:val="center"/>
        <w:ind w:left="7840"/>
        <w:spacing w:after="0"/>
        <w:rPr>
          <w:sz w:val="20"/>
          <w:szCs w:val="20"/>
          <w:color w:val="auto"/>
        </w:rPr>
      </w:pPr>
      <w:r>
        <w:rPr>
          <w:rFonts w:ascii="Arial" w:cs="Arial" w:eastAsia="Arial" w:hAnsi="Arial"/>
          <w:sz w:val="14"/>
          <w:szCs w:val="14"/>
          <w:b w:val="1"/>
          <w:bCs w:val="1"/>
          <w:color w:val="auto"/>
        </w:rPr>
        <w:t>Nine Months Ended</w:t>
      </w:r>
    </w:p>
    <w:p>
      <w:pPr>
        <w:jc w:val="center"/>
        <w:ind w:left="784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60" w:type="dxa"/>
            <w:vAlign w:val="bottom"/>
            <w:tcBorders>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Net Earnings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205,738</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(102,283)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Earnings (Loss) to Cash Provided by Operating Activities: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Arial" w:cs="Arial" w:eastAsia="Arial" w:hAnsi="Arial"/>
                <w:sz w:val="16"/>
                <w:szCs w:val="16"/>
                <w:color w:val="auto"/>
              </w:rPr>
              <w:t>Depreciation of Lease Merchandise</w:t>
            </w:r>
          </w:p>
        </w:tc>
        <w:tc>
          <w:tcPr>
            <w:tcW w:w="38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1,380,572</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1,672,841</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Depreciation and Amortization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21,954</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74,683</w:t>
            </w: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Arial" w:cs="Arial" w:eastAsia="Arial" w:hAnsi="Arial"/>
                <w:sz w:val="16"/>
                <w:szCs w:val="16"/>
                <w:color w:val="auto"/>
              </w:rPr>
              <w:t>Provisions for Accounts Receivable and Loan Losses</w:t>
            </w:r>
          </w:p>
        </w:tc>
        <w:tc>
          <w:tcPr>
            <w:tcW w:w="38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152,523</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224,959</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14,803</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21,378</w:t>
            </w: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16,948</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(76,885)</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of Goodwill and Other Assets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469,782</w:t>
            </w: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Arial" w:cs="Arial" w:eastAsia="Arial" w:hAnsi="Arial"/>
                <w:sz w:val="16"/>
                <w:szCs w:val="16"/>
                <w:color w:val="auto"/>
              </w:rPr>
              <w:t>Non-Cash Lease Expense</w:t>
            </w:r>
          </w:p>
        </w:tc>
        <w:tc>
          <w:tcPr>
            <w:tcW w:w="38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708</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75,589</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Changes, Net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5,529</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 Net of Effects of Acquisitions and Dispositions: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Additions to Lease Merchandise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(1,446,046)</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(1,687,483)</w:t>
            </w: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Arial" w:cs="Arial" w:eastAsia="Arial" w:hAnsi="Arial"/>
                <w:sz w:val="16"/>
                <w:szCs w:val="16"/>
                <w:color w:val="auto"/>
              </w:rPr>
              <w:t>Book Value of Lease Merchandise Sold or Disposed</w:t>
            </w:r>
          </w:p>
        </w:tc>
        <w:tc>
          <w:tcPr>
            <w:tcW w:w="38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87,005</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263,007</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(143,970)</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(183,807)</w:t>
            </w: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Arial" w:cs="Arial" w:eastAsia="Arial" w:hAnsi="Arial"/>
                <w:sz w:val="16"/>
                <w:szCs w:val="16"/>
                <w:color w:val="auto"/>
              </w:rPr>
              <w:t>Prepaid Expenses and Other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(3,864)</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(1,381)</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Tax Receivable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(18,529)</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9,180</w:t>
            </w: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Arial" w:cs="Arial" w:eastAsia="Arial" w:hAnsi="Arial"/>
                <w:sz w:val="16"/>
                <w:szCs w:val="16"/>
                <w:color w:val="auto"/>
              </w:rPr>
              <w:t>Operating Lease Right-of-Use Assets and Liabilities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(1,411)</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(85,073)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Accrued Expenses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37,973</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48,851</w:t>
            </w: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Arial" w:cs="Arial" w:eastAsia="Arial" w:hAnsi="Arial"/>
                <w:sz w:val="16"/>
                <w:szCs w:val="16"/>
                <w:color w:val="auto"/>
              </w:rPr>
              <w:t>Accrued Regulatory Expense</w:t>
            </w:r>
          </w:p>
        </w:tc>
        <w:tc>
          <w:tcPr>
            <w:tcW w:w="38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(175,000)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Customer Deposits and Advance Payments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(6,799)</w:t>
            </w: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20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Provided by Operating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294,890</w:t>
            </w: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551,846</w:t>
            </w:r>
          </w:p>
        </w:tc>
        <w:tc>
          <w:tcPr>
            <w:tcW w:w="0" w:type="dxa"/>
            <w:vAlign w:val="bottom"/>
          </w:tcPr>
          <w:p>
            <w:pPr>
              <w:spacing w:after="0"/>
              <w:rPr>
                <w:sz w:val="1"/>
                <w:szCs w:val="1"/>
                <w:color w:val="auto"/>
              </w:rPr>
            </w:pPr>
          </w:p>
        </w:tc>
      </w:tr>
      <w:tr>
        <w:trPr>
          <w:trHeight w:val="19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Investments in Loans Receivable</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(139,980)</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(73,208)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Loans Receivable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97,158</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50,154</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Outflows on Purchases of Property, Plant and Equipment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(6,815)</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(50,867)</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Disposition of Property, Plant and Equipment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3,829</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Outflows on Acquisitions of Businesses and Customer Agreements, Net of Cash Acquired</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(22,942)</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(2,874)</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Dispositions of Businesses and Customer Agreements, Net of Cash Disposed</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0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Used in Investing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(72,524)</w:t>
            </w: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(72,607)</w:t>
            </w:r>
          </w:p>
        </w:tc>
        <w:tc>
          <w:tcPr>
            <w:tcW w:w="0" w:type="dxa"/>
            <w:vAlign w:val="bottom"/>
          </w:tcPr>
          <w:p>
            <w:pPr>
              <w:spacing w:after="0"/>
              <w:rPr>
                <w:sz w:val="1"/>
                <w:szCs w:val="1"/>
                <w:color w:val="auto"/>
              </w:rPr>
            </w:pPr>
          </w:p>
        </w:tc>
      </w:tr>
      <w:tr>
        <w:trPr>
          <w:trHeight w:val="19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Proceeds from Debt</w:t>
            </w:r>
          </w:p>
        </w:tc>
        <w:tc>
          <w:tcPr>
            <w:tcW w:w="38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5,625</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on Debt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(61,515)</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Dividends Paid</w:t>
            </w:r>
          </w:p>
        </w:tc>
        <w:tc>
          <w:tcPr>
            <w:tcW w:w="38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(8,035)</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of Treasury Stock</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(128,233)</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Issuance of Stock Under Stock Option Plans</w:t>
            </w:r>
          </w:p>
        </w:tc>
        <w:tc>
          <w:tcPr>
            <w:tcW w:w="38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3,133</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9,876</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Withheld for Tax Payments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(5,123)</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(11,734)</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Debt Issuance Costs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Financing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(130,223)</w:t>
            </w:r>
          </w:p>
        </w:tc>
        <w:tc>
          <w:tcPr>
            <w:tcW w:w="6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(66,803)</w:t>
            </w:r>
          </w:p>
        </w:tc>
        <w:tc>
          <w:tcPr>
            <w:tcW w:w="0" w:type="dxa"/>
            <w:vAlign w:val="bottom"/>
          </w:tcPr>
          <w:p>
            <w:pPr>
              <w:spacing w:after="0"/>
              <w:rPr>
                <w:sz w:val="1"/>
                <w:szCs w:val="1"/>
                <w:color w:val="auto"/>
              </w:rPr>
            </w:pPr>
          </w:p>
        </w:tc>
      </w:tr>
      <w:tr>
        <w:trPr>
          <w:trHeight w:val="20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in Cash and Cash Equivalents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92,143</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412,415</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and Cash Equivalents at Beginning of Period</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36,645</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57,755</w:t>
            </w:r>
          </w:p>
        </w:tc>
        <w:tc>
          <w:tcPr>
            <w:tcW w:w="0" w:type="dxa"/>
            <w:vAlign w:val="bottom"/>
          </w:tcPr>
          <w:p>
            <w:pPr>
              <w:spacing w:after="0"/>
              <w:rPr>
                <w:sz w:val="1"/>
                <w:szCs w:val="1"/>
                <w:color w:val="auto"/>
              </w:rPr>
            </w:pPr>
          </w:p>
        </w:tc>
      </w:tr>
      <w:tr>
        <w:trPr>
          <w:trHeight w:val="234"/>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and Cash Equivalents at 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128,788</w:t>
            </w:r>
          </w:p>
        </w:tc>
        <w:tc>
          <w:tcPr>
            <w:tcW w:w="6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470,170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Net Cash Paid (Received) During the Period: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Interest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1,093</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8,501</w:t>
            </w:r>
          </w:p>
        </w:tc>
        <w:tc>
          <w:tcPr>
            <w:tcW w:w="0" w:type="dxa"/>
            <w:vAlign w:val="bottom"/>
          </w:tcPr>
          <w:p>
            <w:pPr>
              <w:spacing w:after="0"/>
              <w:rPr>
                <w:sz w:val="1"/>
                <w:szCs w:val="1"/>
                <w:color w:val="auto"/>
              </w:rPr>
            </w:pPr>
          </w:p>
        </w:tc>
      </w:tr>
      <w:tr>
        <w:trPr>
          <w:trHeight w:val="210"/>
        </w:trPr>
        <w:tc>
          <w:tcPr>
            <w:tcW w:w="7860" w:type="dxa"/>
            <w:vAlign w:val="bottom"/>
          </w:tcPr>
          <w:p>
            <w:pPr>
              <w:ind w:left="680"/>
              <w:spacing w:after="0"/>
              <w:rPr>
                <w:sz w:val="20"/>
                <w:szCs w:val="20"/>
                <w:color w:val="auto"/>
              </w:rPr>
            </w:pPr>
            <w:r>
              <w:rPr>
                <w:rFonts w:ascii="Arial" w:cs="Arial" w:eastAsia="Arial" w:hAnsi="Arial"/>
                <w:sz w:val="16"/>
                <w:szCs w:val="16"/>
                <w:color w:val="auto"/>
              </w:rPr>
              <w:t>Income Taxes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43,985</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(19,362)</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r>
        <w:rPr>
          <w:rFonts w:ascii="Arial" w:cs="Arial" w:eastAsia="Arial" w:hAnsi="Arial"/>
          <w:sz w:val="18"/>
          <w:szCs w:val="18"/>
          <w:color w:val="auto"/>
        </w:rPr>
        <w:t>.</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AND SUMMARY OF SIGNIFICANT ACCOUNTING POLICIES</w:t>
      </w:r>
    </w:p>
    <w:p>
      <w:pPr>
        <w:spacing w:after="0" w:line="17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As described elsewhere in this Quarterly Report on Form 10-Q, the Coronavirus Disease ("COVID-19") pandemic has led to significant market disruption and has impacted many aspects of our operations, directly and indirectly. Throughout these notes to the condensed consolidated financial statements, the impacts of the COVID-19 pandemic on the financial results for the three and nine months ended September 30, 2021 have been identified under the respective sections. For a discussion of significant estimates made by management regarding allowances for lease merchandise, accounts receivable, and loans receivable, as well as operational measures taken as a result of the COVID-19 pandemic, see Item 2. "Management’s Discussion and Analysis of Financial Condition and Results of Operations", including the "COVID-19 Pandemic," "Results of Operations", and "Liquidity and Capital Resources" below.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PROG Holdings, Inc. ("we," "our," "us," the "Company", or "PROG Holdings") is a financial technology holding company with two reportable segments:</w:t>
      </w:r>
    </w:p>
    <w:p>
      <w:pPr>
        <w:spacing w:after="0" w:line="35" w:lineRule="exact"/>
        <w:rPr>
          <w:sz w:val="20"/>
          <w:szCs w:val="20"/>
          <w:color w:val="auto"/>
        </w:rPr>
      </w:pPr>
    </w:p>
    <w:p>
      <w:pPr>
        <w:ind w:right="200" w:firstLine="8"/>
        <w:spacing w:after="0" w:line="243"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Progressive Leasing, a leading provider of in-store, e-commerce and mobile app-based lease-to-own solutions; and (ii) Vive Financial ("Vive"), which offers omnichannel second-look revolving credit products.</w:t>
      </w:r>
    </w:p>
    <w:p>
      <w:pPr>
        <w:spacing w:after="0" w:line="6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Our Progressive Leasing segment provides consumers with lease-purchase solutions through its point-of-sale partner locations and through its e-commerce website partners in the United States (collectively, "POS partners").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spacing w:after="0" w:line="51"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spacing w:after="0" w:line="53"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On June 25, 2021, the Company completed the acquisition of Four Technologies, Inc. ("Four"), an innovative Buy Now, Pay Later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fintech offerings. Shoppers use Four to purchase furniture, clothing, electronics, health and beauty, footwear, jewelry, and other consumer goods from retailers across the United States. Four is not a reportable segment for the nine months ended September 30, 2021 as its revenues, loss before income taxes, and assets are not material to the Company's condensed consolidated financial results. See Note 3 for further discussion on the acquisition.</w:t>
      </w:r>
    </w:p>
    <w:p>
      <w:pPr>
        <w:spacing w:after="0" w:line="4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On November 30, 2020, PROG Holdings (previously Aaron's Holdings Company, Inc.) completed the separation of its Aaron's Business segment from its Progressive Leasing and Vive segments. The separation was effected through a tax-free distribution of all outstanding shares of common stock of The Aaron's Company, Inc. ("The Aaron's Company") to the PROG Holdings shareholders of record as of the close of business on November 27, 2020 (referred to as the "separation and distribution transaction"). All direct revenues and expenses of the Aaron's Business are presented as discontinued operations for all periods through the separation and distribution date of November 30, 2020. The cash flows related to the Aaron's Business have not been segregated and are included in the condensed consolidated statements of cash flows for the nine months ended September 30, 2020. With the exception of Note 2, the notes to the condensed consolidated financial statements reflect the continuing operations of PROG Holdings. See Note 2 below for additional information regarding discontinued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preparation of the Company's condensed consolidated financial statements in conformity with accounting principles generally accepted in the United States ("U.S. GAAP") for interim financial information requires management to make estimates and assumptions that affect the amounts reported in these condensed consolidated financial statements and accompanying notes. Actual results could differ from those estimates.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accompanying unaudited condensed consolidated financial statements do not include all information required by U.S. GAAP for complete financial statements. In the opinion of management, all adjustments, which are of a normal recurring nature, considered necessary for a fair presentation have been included in the accompanying unaudited condensed consolidated financial statements. These condensed consolidated financial statements should be read in conjunction with the financial statements and notes thereto included in the Company's Annual Report on Form 10-K for the year ended December 31, 2020 (the "2020 Annual Report") filed with the U.S. Securities and Exchange Commission on February 26, 2021. The results of operations for the three and nine months ended September 30, 2021 are not necessarily indicative of operating results for the full year.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condensed consolidated financial statements include the accounts of PROG Holdings, Inc. and its subsidiaries, each of which is wholly-owned.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Intercompany balances and transactions between consolidated entities have been eliminated.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 and Estimates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See Note 1 to the consolidated financial statements in the 2020 Annual Report for an expanded discussion of accounting policies and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0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Earnings per share is computed by dividing net earnings (loss) by the weighted average number of shares of common stock outstanding during the period. The computation of earnings per share assuming dilution includes the dilutive effect of stock options, restricted stock units ("RSUs"), restricted stock awards ("RSAs") and performance share units ("PSUs") and awards issuable under the Company's employee stock purchase plan ("ESPP") (collectively, "share-based awards") as determined under the treasury stock method. The following table shows the calculation of dilutive share-based awards: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20" w:type="dxa"/>
            <w:vAlign w:val="bottom"/>
            <w:gridSpan w:val="2"/>
          </w:tcPr>
          <w:p>
            <w:pPr>
              <w:jc w:val="right"/>
              <w:ind w:right="197"/>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86"/>
        </w:trPr>
        <w:tc>
          <w:tcPr>
            <w:tcW w:w="52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4"/>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1159"/>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8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57"/>
              <w:spacing w:after="0"/>
              <w:rPr>
                <w:sz w:val="20"/>
                <w:szCs w:val="20"/>
                <w:color w:val="auto"/>
              </w:rPr>
            </w:pPr>
            <w:r>
              <w:rPr>
                <w:rFonts w:ascii="Arial" w:cs="Arial" w:eastAsia="Arial" w:hAnsi="Arial"/>
                <w:sz w:val="18"/>
                <w:szCs w:val="18"/>
                <w:color w:val="auto"/>
                <w:w w:val="87"/>
              </w:rPr>
              <w:t>66,092</w:t>
            </w: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7"/>
              </w:rPr>
              <w:t>67,398</w:t>
            </w:r>
          </w:p>
        </w:tc>
        <w:tc>
          <w:tcPr>
            <w:tcW w:w="1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66,938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67,107</w:t>
            </w:r>
          </w:p>
        </w:tc>
      </w:tr>
      <w:tr>
        <w:trPr>
          <w:trHeight w:val="23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Share-Based Awards</w:t>
            </w:r>
          </w:p>
        </w:tc>
        <w:tc>
          <w:tcPr>
            <w:tcW w:w="8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957"/>
              <w:spacing w:after="0"/>
              <w:rPr>
                <w:sz w:val="20"/>
                <w:szCs w:val="20"/>
                <w:color w:val="auto"/>
              </w:rPr>
            </w:pPr>
            <w:r>
              <w:rPr>
                <w:rFonts w:ascii="Arial" w:cs="Arial" w:eastAsia="Arial" w:hAnsi="Arial"/>
                <w:sz w:val="18"/>
                <w:szCs w:val="18"/>
                <w:color w:val="auto"/>
              </w:rPr>
              <w:t>293</w:t>
            </w: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757</w:t>
            </w:r>
          </w:p>
        </w:tc>
        <w:tc>
          <w:tcPr>
            <w:tcW w:w="186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rPr>
              <w:t>381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Assuming Dilution</w:t>
            </w:r>
          </w:p>
        </w:tc>
        <w:tc>
          <w:tcPr>
            <w:tcW w:w="8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957"/>
              <w:spacing w:after="0"/>
              <w:rPr>
                <w:sz w:val="20"/>
                <w:szCs w:val="20"/>
                <w:color w:val="auto"/>
              </w:rPr>
            </w:pPr>
            <w:r>
              <w:rPr>
                <w:rFonts w:ascii="Arial" w:cs="Arial" w:eastAsia="Arial" w:hAnsi="Arial"/>
                <w:sz w:val="18"/>
                <w:szCs w:val="18"/>
                <w:color w:val="auto"/>
                <w:w w:val="87"/>
              </w:rPr>
              <w:t>66,385</w:t>
            </w:r>
          </w:p>
        </w:tc>
        <w:tc>
          <w:tcPr>
            <w:tcW w:w="8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87"/>
              </w:rPr>
              <w:t>68,155</w:t>
            </w:r>
          </w:p>
        </w:tc>
        <w:tc>
          <w:tcPr>
            <w:tcW w:w="1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rPr>
              <w:t>67,319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67,849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240"/>
        <w:spacing w:after="0" w:line="334" w:lineRule="auto"/>
        <w:rPr>
          <w:sz w:val="20"/>
          <w:szCs w:val="20"/>
          <w:color w:val="auto"/>
        </w:rPr>
      </w:pPr>
      <w:r>
        <w:rPr>
          <w:rFonts w:ascii="Arial" w:cs="Arial" w:eastAsia="Arial" w:hAnsi="Arial"/>
          <w:sz w:val="16"/>
          <w:szCs w:val="16"/>
          <w:color w:val="auto"/>
        </w:rPr>
        <w:t>Approximately 725,000 and 464,000 weighted-average share-based awards were excluded from the computation of earnings per share assuming dilution during the three and nine months ended September 30, 2021, respectively, as the awards would have been anti-dilutive for the periods presented.</w:t>
      </w:r>
    </w:p>
    <w:p>
      <w:pPr>
        <w:spacing w:after="0" w:line="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Approximately 524,000 and 957,000 weighted-average share-based awards were excluded from the computation of earnings per share assuming dilution during the three and nine months ended September 30, 2020, respectively, as the awards would have been anti-dilutive for the periods presented.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Revenues and Fees</w:t>
      </w:r>
    </w:p>
    <w:p>
      <w:pPr>
        <w:spacing w:after="0" w:line="1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Progressive Leasing segment provides merchandise, consisting primarily of furniture, appliances, electronics, jewelry, mobile phones and accessories, mattresses, automobile electronics and accessories, and a variety of other products to its customers for lease under terms agreed to by the customer. Progressive Leasing offers customers of traditional and e-commerce retailers a lease-purchase solution through leases with payment terms that can generally be renewed up to 12 months. Progressive Leasing does not require deposits upon inception of customer agreements. The customer has the right to acquire ownership either through early buyout options or through payment of all required lease payments. The agreements are cancellable at any time by either party without penalty.</w:t>
      </w:r>
    </w:p>
    <w:p>
      <w:pPr>
        <w:spacing w:after="0" w:line="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Progressive Leasing's lease revenues are earned prior to the lease payment due date and are recorded net of related sales taxes as earned. Payment due date terms include weekly, bi-weekly, semi-monthly and monthly frequencies. Revenue recorded prior to the payment due date results in unbilled receivables recognized in accounts receivable, net of allowances in the accompanying condensed consolidated balance sheets. Progressive Leasing lease revenues are recorded net of a provision for uncollectible renewal payments.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All of Progressive Leasing's customer agreements are considered operating leases. It maintains ownership of the lease merchandise until all payment obligations are satisfied under the lease ownership agreements. Initial direct costs related to lease purchase agreements are capitalized as incurred and amortized as operating expense over the estimated lease term. The capitalized costs have been classified within prepaid expenses and other assets in the accompanying condensed consolidated balance sheets.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Fees on Loans Receivable</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 and fees on loans receivable is primarily generated from our Vive segment. Vive extends or declines credit to an applicant through its bank partners based upon the applicant's credit rating and other factors. Qualifying applicants receive a credit card to finance their initial purchase and to use in subsequent purchases at the merchant or other participating merchants for an initial 24-month period, which Vive may renew if the cardholder remains in good standing.</w:t>
      </w:r>
    </w:p>
    <w:p>
      <w:pPr>
        <w:spacing w:after="0" w:line="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Vive acquires the loan receivable from its third-party bank partners at a discount from the face value of the loan. The discount is comprised of a merchant fee discount and a promotional fee discount, if applicable.</w:t>
      </w:r>
    </w:p>
    <w:p>
      <w:pPr>
        <w:spacing w:after="0" w:line="4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merchant fee discount represents a pre-negotiated, nonrefundable discount that generally ranges from 3% to 25% of the loan face value. The discount is designed to cover the risk of loss related to the portfolio of cardholder charges and Vive's direct origination costs. The merchant fee discount and origination costs are presented net on the condensed consolidated balance sheets in loans receivable. Cardholders generally have an initial 24-month period that the card is active. The merchant fee discount, net of the origination costs, is amortized on a net basis and is recorded as interest and fee revenue on loans receivable in the condensed consolidated statements of earnings on a straight-line basis over the initial 24-month period.</w:t>
      </w:r>
    </w:p>
    <w:p>
      <w:pPr>
        <w:spacing w:after="0" w:line="2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discount from the face value of the loan on the acquisition of the loan receivable from the merchant through the third-party bank partners may also include a promotional fee discount, which generally ranges from 1% to 8%. The promotional fee discount is intended to compensate the holder of the loan receivable (i.e. Vive) for deferred or reduced interest rates that are offered to the cardholder for a specified period on the outstanding loan balance (generally for six, 12 or 18 months). The promotional fee discount is amortized as interest and fee revenue on loans receivable in the condensed consolidated statements of earnings on a straight-line basis over the promotional interest period (i.e., over six, 12 or 18 months, depending on the promotion). The unamortized promotional fee discount is presented net on the condensed consolidated balance sheets in loans receivable.</w:t>
      </w:r>
    </w:p>
    <w:p>
      <w:pPr>
        <w:spacing w:after="0" w:line="4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customer is typically required to make monthly minimum payments of at least 3.5% of the outstanding loan balance, which includes outstanding interest. Fixed and variable interest rates, typically 27% to 35.99%, are compounded daily for cards that do not qualify for deferred or reduced interest promotional periods. Interest income, which is recognized based upon the amount of the loans outstanding, is recognized as interest and fees on loans receivable when earned if collectibility is reasonably assured. For credit cards that provide deferred interest, if the balance is not paid off during the promotional period or if the cardholder defaults, interest is billed to the customers at standard rates and the cumulative amount owed is charged to the cardholder account in the month that the promotional period expires. For credit cards that provide reduced interest, if the balance is not paid off during the promotional period, interest is billed to the cardholder at standard rates in the month that the promotional period expires or when the cardholder defaults. The Company recognizes interest revenue during the promotional period based on its historical experience related to cardholders that fail to pay off balances during the promotional period if collectibility is reasonably assured.</w:t>
      </w:r>
    </w:p>
    <w:p>
      <w:pPr>
        <w:spacing w:after="0" w:line="5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Annual fees are charged to cardholders at the commencement of the loan and on each subsequent anniversary date. Annual fees are deferred and recognized into revenue on a straight-line basis over a one-year period. Under the provisions of the credit card agreements, Vive also may assess fees for missed or late payments, which are recognized as revenue in the billing period in which they are assessed if collectibility is reasonably assured. Annual fees and other fees discussed are recognized as interest and fee revenue on loans receivable in the condensed consolidated statements of earnings.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Accounts receivable consist primarily of receivables due from customers of Progressive Leasing and amounted to $67.4 million and $61.3 million, net of allowances, as of September 30, 2021 and December 31, 2020,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 maintains an accounts receivable allowance, which primarily relates to its Progressive Leasing operations and, to a lesser extent, receivables from Vive's POS partners. The Company’s policy is to record an allowance for uncollectible renewal payments based on historical collection experience. Other qualitative factors are considered in estimating the allowance, such as current and forecasted business trends including, but not limited to, the potential unfavorable impacts of the COVID-19 pandemic on our businesses. We believe government stimulus measures in 2020 and the first half of 2021 contributed to the favorable payment trends we experienced following those measures. We believe any additional government stimulus measures may positively influence future payment trends as well. Given the significant uncertainty regarding the impacts of the COVID-19 pandemic on our business, including the existence and/or extent of any future government stimulus measures, a high level of estimation was involved in determining the allowance as of September 30, 2021. Therefore, actual future accounts receivable write-offs could differ materially from the allowance. The Progressive Leasing provision for uncollectible renewal payments is recorded as a reduction of lease revenues and fees within the condensed consolidated statements of earnings. The Progressive Leasing segment writes off lease receivables that are 120 days or more contractually past due.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the accounts receivable allowance: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r>
      <w:tr>
        <w:trPr>
          <w:trHeight w:val="186"/>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r>
      <w:tr>
        <w:trPr>
          <w:trHeight w:val="184"/>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56,364</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65,573</w:t>
            </w:r>
          </w:p>
        </w:tc>
      </w:tr>
      <w:tr>
        <w:trPr>
          <w:trHeight w:val="229"/>
        </w:trPr>
        <w:tc>
          <w:tcPr>
            <w:tcW w:w="7840" w:type="dxa"/>
            <w:vAlign w:val="bottom"/>
          </w:tcPr>
          <w:p>
            <w:pPr>
              <w:ind w:left="220"/>
              <w:spacing w:after="0"/>
              <w:rPr>
                <w:sz w:val="20"/>
                <w:szCs w:val="20"/>
                <w:color w:val="auto"/>
              </w:rPr>
            </w:pPr>
            <w:r>
              <w:rPr>
                <w:rFonts w:ascii="Arial" w:cs="Arial" w:eastAsia="Arial" w:hAnsi="Arial"/>
                <w:sz w:val="18"/>
                <w:szCs w:val="18"/>
                <w:color w:val="auto"/>
              </w:rPr>
              <w:t>Accounts Written Off, Net of Recoveries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(133,585)</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(191,676)</w:t>
            </w:r>
          </w:p>
        </w:tc>
      </w:tr>
      <w:tr>
        <w:trPr>
          <w:trHeight w:val="229"/>
        </w:trPr>
        <w:tc>
          <w:tcPr>
            <w:tcW w:w="78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Accounts Receivable Provision</w:t>
            </w:r>
            <w:r>
              <w:rPr>
                <w:rFonts w:ascii="Arial" w:cs="Arial" w:eastAsia="Arial" w:hAnsi="Arial"/>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137,799</w:t>
            </w:r>
          </w:p>
        </w:tc>
        <w:tc>
          <w:tcPr>
            <w:tcW w:w="6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179,027</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60,578</w:t>
            </w:r>
          </w:p>
        </w:tc>
        <w:tc>
          <w:tcPr>
            <w:tcW w:w="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52,924</w:t>
            </w: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8"/>
        <w:spacing w:after="0" w:line="227" w:lineRule="auto"/>
        <w:tabs>
          <w:tab w:leader="none" w:pos="103"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Substantially all of the Accounts Receivable Provision is recorded as a reduction of lease revenues and fees within the condensed consolidated statements of earnings (loss).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Merchandise</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Progressive Leasing's merchandise consists primarily of furniture, appliances, electronics, jewelry, mobile phones and accessories, mattresses, and a variety of other products and is recorded at the lower of depreciated cost or net realizable value. Progressive Leasing depreciates lease merchandise to a 0% salvage value generally over 12 months. Depreciation is accelerated upon early buyout. All of Progressive Leasing's merchandise, net of accumulated depreciation and allowances, represents on-lease merchandise.</w:t>
      </w:r>
    </w:p>
    <w:p>
      <w:pPr>
        <w:spacing w:after="0" w:line="6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records a provision for write-offs using the allowance method. The allowance method for lease merchandise write-offs estimates the merchandise losses incurred but not yet identified by management as of the end of the accounting period based on historical write-off experience. Other qualitative factors are considered in estimating the allowance, such as current and forecasted business trends including, but not limited to, the potential unfavorable impacts of the COVID-19 pandemic on our business. We believe government stimulus measures in 2020 and the first half of 2021 contributed to the favorable payment trends we experienced following those measures. We believe any additional government stimulus measures may positively influence future payment trends as well. Given the significant uncertainty regarding the impacts of the COVID-19 pandemic on our business, including the existence and/or extent of any future government stimulus measures, a high level of estimation was involved in determining the allowance as of September 30, 2021. Actual future lease merchandise write-offs could differ materially from the allowance as of September 30, 2021.</w:t>
      </w:r>
    </w:p>
    <w:p>
      <w:pPr>
        <w:spacing w:after="0" w:line="3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shows the components of the allowance for lease merchandise write-offs, which is included within lease merchandise, net in the condensed 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gridSpan w:val="2"/>
          </w:tcPr>
          <w:p>
            <w:pPr>
              <w:ind w:left="680"/>
              <w:spacing w:after="0"/>
              <w:rPr>
                <w:sz w:val="20"/>
                <w:szCs w:val="20"/>
                <w:color w:val="auto"/>
              </w:rPr>
            </w:pPr>
            <w:r>
              <w:rPr>
                <w:rFonts w:ascii="Arial" w:cs="Arial" w:eastAsia="Arial" w:hAnsi="Arial"/>
                <w:sz w:val="14"/>
                <w:szCs w:val="14"/>
                <w:b w:val="1"/>
                <w:bCs w:val="1"/>
                <w:color w:val="auto"/>
                <w:w w:val="97"/>
              </w:rPr>
              <w:t>Nine Months Ended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3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7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45,992</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47,362</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Arial" w:cs="Arial" w:eastAsia="Arial" w:hAnsi="Arial"/>
                <w:sz w:val="18"/>
                <w:szCs w:val="18"/>
                <w:color w:val="auto"/>
              </w:rPr>
              <w:t>Merchandise Written off, Net of Recoveries</w:t>
            </w:r>
          </w:p>
        </w:tc>
        <w:tc>
          <w:tcPr>
            <w:tcW w:w="3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ind w:left="600"/>
              <w:spacing w:after="0"/>
              <w:rPr>
                <w:sz w:val="20"/>
                <w:szCs w:val="20"/>
                <w:color w:val="auto"/>
              </w:rPr>
            </w:pPr>
            <w:r>
              <w:rPr>
                <w:rFonts w:ascii="Arial" w:cs="Arial" w:eastAsia="Arial" w:hAnsi="Arial"/>
                <w:sz w:val="18"/>
                <w:szCs w:val="18"/>
                <w:color w:val="auto"/>
              </w:rPr>
              <w:t>(78,242)</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(111,664)</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Write-offs</w:t>
            </w:r>
          </w:p>
        </w:tc>
        <w:tc>
          <w:tcPr>
            <w:tcW w:w="33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84,072</w:t>
            </w:r>
          </w:p>
        </w:tc>
        <w:tc>
          <w:tcPr>
            <w:tcW w:w="6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104,443</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3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51,822</w:t>
            </w:r>
          </w:p>
        </w:tc>
        <w:tc>
          <w:tcPr>
            <w:tcW w:w="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40,141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380" w:type="dxa"/>
            <w:vAlign w:val="bottom"/>
            <w:vMerge w:val="restart"/>
          </w:tcPr>
          <w:p>
            <w:pPr>
              <w:jc w:val="right"/>
              <w:ind w:right="2030"/>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4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Incentives and Rebates Provided to POS Partners</w:t>
      </w:r>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Progressive Leasing has agreements with some of its POS partners that require additional consideration to be paid to the POS partner, including payments for exclusivity, rebates based on lease volume originations generated through the POS partners, and payments to the POS partners for marketing or other development initiatives to promote additional lease originations through these POS partners. Payments made to POS partners as consideration for them providing exclusivity to Progressive Leasing for lease-to-own transactions with customers of the POS partner are expensed on a straight-line basis over the exclusivity term. Rebates are accrued over the period the POS partner is earning the rebate, which is typically based on quarterly or annual lease origination volumes. Payments made to POS partners for marketing or development initiatives are expensed on a straight-line basis over the period the POS partner is earning the funds or the specified marketing term. Progressive Leasing expensed $3.9 million and $13.5 million during the three and nine months ended September 30, 2021, respectively, compared to $3.4 million and $10.2 million during the three and nine months ended September 30, 2020, respectively. Expenses related to additional consideration provided to POS partners are classified within operating expenses in the condensed consolidated statements of earnings.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Receivable, Net</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Gross loans receivable primarily represents the principal balances of credit card charges at Vive's participating merchants that remain due from cardholders, plus unpaid interest and fees due from cardholders. The allowance and unamortized fees represent uncollectible amounts; merchant fee discounts, net of capitalized origination costs; promotional fee discounts; and deferred annual card fees. As of September 30, 2021, gross loans receivable also includes outstanding receivables from customers of Four.</w:t>
      </w:r>
    </w:p>
    <w:p>
      <w:pPr>
        <w:spacing w:after="0" w:line="6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Economic conditions and loan performance trends are closely monitored to manage and evaluate exposure to credit risk. Trends in delinquency rates are an indicator of credit risk within the loans receivable portfolio, including the migration of loans between delinquency categories over time. Charge-off rates represent another indicator of the potential for future credit losses. The risk in the loans receivable portfolio is correlated with broad economic trends, such as current and projected unemployment rates, stock market volatility, and changes in medium and long-term risk-free rates, which are considered in determining the allowance for loan losses and can have a material effect on credit performance.</w:t>
      </w:r>
    </w:p>
    <w:p>
      <w:pPr>
        <w:spacing w:after="0" w:line="5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Company calculates Vive's allowance for loan losses based on internal historical loss information and incorporates observable and forecasted macroeconomic data over a twelve-month reasonable and supportable forecast period. Incorporating macroeconomic data could have a material impact on the measurement of the allowance to the extent that forecasted data changes significantly, such as higher forecasted unemployment rates and the observed significant market volatility associated with the COVID-19 pandemic. For any periods beyond the twelve-month reasonable and supportable forecast period described above, the Company reverts to using historical loss information on a straight-line basis over a period of six months and utilizes historical loss information for the remaining life of the portfolio. The Company may also consider other qualitative factors in estimating the allowance, as necessary. For the purposes of determining the allowance as of September 30, 2021, management considered other qualitative factors such as the beneficial impact of government stimulus measures to our customer base that were not fully factored into the macroeconomic forecasted data. We believe those stimulus measures have contributed to the recent favorable cardholder payment trends we are experiencing at Vive, and we believe that any additional government stimulus measures may positively influence future cardholder payment trends as well. We considered the uncertain nature and extent of any future government stimulus programs and the potential impact, if any, these programs may have on the ability of Vive's cardholders to make payments as they come due. We also considered the impact of the existing government stimulus measures coming to an end in September 2021, and the possible negative impact that the end of the enhanced unemployment benefits may have on future cardholder payment trends. Additionally, if the recent increase in inflation continues in future periods, such a development may adversely impact our customers continuing to make payments to us. The allowance for loan losses is maintained at a level considered appropriate to cover expected future losses of principal, interest and fees on active loans in the loans receivable portfolio. The appropriateness of the allowance is evaluated at each period end. To the extent that actual results differ from estimates of uncollectible loans receivable, including the significant uncertainties caused by the COVID-19 pandemic, the Company's results of operations and liquidity could be materially affected.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Vive's delinquent loans receivable includes those that are 30 days or more past due based on their contractual billing dates. In response to the COVID-19 pandemic, the Company has granted affected Vive customers payment deferrals while allowing them to maintain their delinquency status for an additional 30 days per deferral. The Company places Vive's loans receivable on nonaccrual status when they are greater than 90 days past due or upon notification of cardholder bankruptcy, death or fraud. The Company discontinues accruing interest and fees and amortizing merchant fee discounts and promotional fee discounts for Vive's loans receivable in nonaccrual status. Loans receivable are removed from nonaccrual status when cardholder payments resume, the loan becomes 90 days or less past due and collection of the remaining amounts outstanding is deemed probable. Payments received on nonaccrual loans are allocated according to the same payment hierarchy methodology applied to loans that are accruing interest. Loans receivable are charged off no later than the end of the following month after the billing cycle in which the loans receivable become 120 days past due.</w:t>
      </w:r>
    </w:p>
    <w:p>
      <w:pPr>
        <w:spacing w:after="0" w:line="3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Vive extends or declines credit to an applicant through its bank partners based upon the applicant's credit rating and other factors. Below is a summary of the credit quality of the Company's loan portfolio as of September 30, 2021 and December 31, 2020 by Fair Isaac and Company (FICO) score as determined at the time of loan origination: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FICO Score Category</w:t>
            </w:r>
          </w:p>
        </w:tc>
        <w:tc>
          <w:tcPr>
            <w:tcW w:w="48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September 30, 2021</w:t>
            </w:r>
          </w:p>
        </w:tc>
        <w:tc>
          <w:tcPr>
            <w:tcW w:w="1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600 or Less</w:t>
            </w:r>
          </w:p>
        </w:tc>
        <w:tc>
          <w:tcPr>
            <w:tcW w:w="48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7.5 %</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Between 600 and 700</w:t>
            </w:r>
          </w:p>
        </w:tc>
        <w:tc>
          <w:tcPr>
            <w:tcW w:w="4840" w:type="dxa"/>
            <w:vAlign w:val="bottom"/>
          </w:tcPr>
          <w:p>
            <w:pPr>
              <w:jc w:val="right"/>
              <w:ind w:right="134"/>
              <w:spacing w:after="0"/>
              <w:rPr>
                <w:sz w:val="20"/>
                <w:szCs w:val="20"/>
                <w:color w:val="auto"/>
              </w:rPr>
            </w:pPr>
            <w:r>
              <w:rPr>
                <w:rFonts w:ascii="Arial" w:cs="Arial" w:eastAsia="Arial" w:hAnsi="Arial"/>
                <w:sz w:val="18"/>
                <w:szCs w:val="18"/>
                <w:color w:val="auto"/>
              </w:rPr>
              <w:t>78.8 %</w:t>
            </w:r>
          </w:p>
        </w:tc>
        <w:tc>
          <w:tcPr>
            <w:tcW w:w="1660" w:type="dxa"/>
            <w:vAlign w:val="bottom"/>
          </w:tcPr>
          <w:p>
            <w:pPr>
              <w:jc w:val="right"/>
              <w:spacing w:after="0"/>
              <w:rPr>
                <w:sz w:val="20"/>
                <w:szCs w:val="20"/>
                <w:color w:val="auto"/>
              </w:rPr>
            </w:pPr>
            <w:r>
              <w:rPr>
                <w:rFonts w:ascii="Arial" w:cs="Arial" w:eastAsia="Arial" w:hAnsi="Arial"/>
                <w:sz w:val="18"/>
                <w:szCs w:val="18"/>
                <w:color w:val="auto"/>
              </w:rPr>
              <w:t>79.3 %</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700 or Greater</w:t>
            </w:r>
          </w:p>
        </w:tc>
        <w:tc>
          <w:tcPr>
            <w:tcW w:w="48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13.1 %</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13.2 %</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No score identified</w:t>
            </w:r>
          </w:p>
        </w:tc>
        <w:tc>
          <w:tcPr>
            <w:tcW w:w="4840" w:type="dxa"/>
            <w:vAlign w:val="bottom"/>
          </w:tcPr>
          <w:p>
            <w:pPr>
              <w:jc w:val="right"/>
              <w:ind w:right="134"/>
              <w:spacing w:after="0"/>
              <w:rPr>
                <w:sz w:val="20"/>
                <w:szCs w:val="20"/>
                <w:color w:val="auto"/>
              </w:rPr>
            </w:pPr>
            <w:r>
              <w:rPr>
                <w:rFonts w:ascii="Arial" w:cs="Arial" w:eastAsia="Arial" w:hAnsi="Arial"/>
                <w:sz w:val="18"/>
                <w:szCs w:val="18"/>
                <w:color w:val="auto"/>
              </w:rPr>
              <w:t>0.6 %</w:t>
            </w:r>
          </w:p>
        </w:tc>
        <w:tc>
          <w:tcPr>
            <w:tcW w:w="166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assets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7"/>
              </w:rPr>
              <w:t>September 30, 2021</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23,030</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Unamortized Initial Direct Costs on Lease Agreement Originations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4,648</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4,986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7,726</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7,899</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Accounts Payable and Accrued Expenses</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780" w:type="dxa"/>
            <w:vAlign w:val="bottom"/>
          </w:tcPr>
          <w:p>
            <w:pPr>
              <w:spacing w:after="0"/>
              <w:rPr>
                <w:sz w:val="20"/>
                <w:szCs w:val="20"/>
                <w:color w:val="auto"/>
              </w:rPr>
            </w:pPr>
            <w:r>
              <w:rPr>
                <w:rFonts w:ascii="Arial" w:cs="Arial" w:eastAsia="Arial" w:hAnsi="Arial"/>
                <w:sz w:val="18"/>
                <w:szCs w:val="18"/>
                <w:color w:val="auto"/>
              </w:rPr>
              <w:t>Accounts payable and accrued expenses consist of the following:</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1"/>
              </w:rPr>
              <w:t>September 30, 2021</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8,200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Accrued Salaries and Benefits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ind w:right="53"/>
              <w:spacing w:after="0"/>
              <w:rPr>
                <w:sz w:val="20"/>
                <w:szCs w:val="20"/>
                <w:color w:val="auto"/>
              </w:rPr>
            </w:pPr>
            <w:r>
              <w:rPr>
                <w:rFonts w:ascii="Arial" w:cs="Arial" w:eastAsia="Arial" w:hAnsi="Arial"/>
                <w:sz w:val="18"/>
                <w:szCs w:val="18"/>
                <w:color w:val="auto"/>
              </w:rPr>
              <w:t>23,837</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18,120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Sales and Personal Property Taxes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13,628</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12,933</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18,183</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Tax Positions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48,807</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Expenses and Liabilities</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22,341</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17,635</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116,813</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78,249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September 30, 2021, and December 31, 2020, uncertain tax positions were $48.8 million and $2.7 million, respectively. The increase is primarily driven by the Company’s tax treatment of its settlement with the Federal Trade Commission ("FTC").</w:t>
      </w:r>
    </w:p>
    <w:p>
      <w:pPr>
        <w:spacing w:after="0" w:line="49"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In December 2019, Progressive Leasing reached an agreement in principle with the staff of the FTC with respect to a tentative settlement to resolve the FTC inquiry received by the Company in July 2018. Progressive Leasing agreed to make a lump-sum payment of $175.0 million. At the time of the agreement, the Company treated the tentative settlement as a non-deductible regulatory charge for tax purposes and recognized tax expense.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$175.0 million settlement was finalized and paid to the FTC in 2020. Prior to filing the Company’s 2020 income tax return, it was determined there is a reasonable basis for deducting the settlement amount on the return. However, the tax position does not meet the more-likely-than-not recognition standard and no tax benefit has been recognized in the current period. As a result, the Company has reclassified $44.7 million from taxes payable, previously recognized in December 2019, to an uncertain tax position as of September 30, 2021. Additionally, $1.0 million of accrued interest related to the uncertain tax position has been recognized as a component of income tax expense in accordance with the Company's accounting policy.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November 24, 2020, the Company entered into a credit agreement with a consortium of lenders providing for a $350.0 million senior unsecured revolving credit facility (the "Revolving Facility"), under which revolving borrowings became available at the completion of the separation and distribution transaction, and under which all borrowings and commitments will mature or terminate on November 24, 2025. The Company expects that the Revolving Facility will be used to provide for working capital and capital expenditures, to finance future permitted acquisitions, and for other general corporate purposes. The Company had $50.0 million of outstanding borrowings and $300.0 million total available credit under the Revolving Facility as of September 30, 2021.</w:t>
      </w:r>
    </w:p>
    <w:p>
      <w:pPr>
        <w:spacing w:after="0" w:line="7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At September 30, 2021, the Company was in compliance with all covenants related to its outstanding debt. See Note 8 to the consolidated financial statements in the 2020 Annual Report for further information regarding the Company's indebtedness.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Authorization</w:t>
      </w:r>
    </w:p>
    <w:p>
      <w:pPr>
        <w:spacing w:after="0" w:line="10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On November 3, 2021, the Company announced a new $1 billion share repurchase program authorized by the Company's Board of Directors. The authorization replaces the Company's existing $300 million repurchase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Goodwill represents the excess of the purchase price paid over the fair value of the identifiable net tangible and intangible assets acquired in connection with business acquisitions. Progressive Leasing and Four are the only reporting units with goodwill. Impairment occurs when the carrying amount of goodwill is not recoverable from future cash flows. The Company’s goodwill is not amortized but is subject to an impairment test at the reporting unit level annually as of October 1 and more frequently if events or circumstances indicate that an impairment may have occurred. Factors which could necessitate an interim impairment assessment include a sustained decline in the Company’s stock price, prolonged negative industry or economic trends and significant underperformance relative to historical results, projected future operating results, or the Company fails to successfully execute on one or more elements of Progressive Leasing and/or Four's strategic plans. The Company completed its annual goodwill impairment test for Progressive Leasing as of October 1, 2020 and concluded that no impairment had occurred. The Company determined that there were no events or circumstances that occurred during the nine months ended September 30, 2021 that would more likely than not reduce the fair values of Progressive Leasing and Four below their carrying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Equity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Changes in shareholders' equity for the nine months ended September 30, 2021 and 2020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26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Treasury Stock</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6"/>
                <w:szCs w:val="16"/>
                <w:color w:val="auto"/>
              </w:rPr>
            </w:pPr>
          </w:p>
        </w:tc>
        <w:tc>
          <w:tcPr>
            <w:tcW w:w="9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53"/>
        </w:trPr>
        <w:tc>
          <w:tcPr>
            <w:tcW w:w="3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4"/>
                <w:szCs w:val="4"/>
                <w:color w:val="auto"/>
              </w:rPr>
            </w:pPr>
          </w:p>
        </w:tc>
        <w:tc>
          <w:tcPr>
            <w:tcW w:w="10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4"/>
                <w:szCs w:val="4"/>
                <w:color w:val="auto"/>
              </w:rPr>
            </w:pPr>
          </w:p>
        </w:tc>
        <w:tc>
          <w:tcPr>
            <w:tcW w:w="11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1"/>
              </w:rPr>
              <w:t>Common Stock</w:t>
            </w:r>
          </w:p>
        </w:tc>
        <w:tc>
          <w:tcPr>
            <w:tcW w:w="2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6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8"/>
              </w:rPr>
              <w:t>Paid-in Capital</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Earnings</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(23,029)</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(613,881)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45,376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318,263</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1,236,378</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986,136</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4,163</w:t>
            </w:r>
          </w:p>
        </w:tc>
        <w:tc>
          <w:tcPr>
            <w:tcW w:w="2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4,163</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Reissued Shares</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3,671</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(8,400)</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(4,729)</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Repurchased Shares</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(589)</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(28,102)</w:t>
            </w:r>
          </w:p>
        </w:tc>
        <w:tc>
          <w:tcPr>
            <w:tcW w:w="20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(28,102)</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79,488</w:t>
            </w:r>
          </w:p>
        </w:tc>
        <w:tc>
          <w:tcPr>
            <w:tcW w:w="3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79,488</w:t>
            </w:r>
          </w:p>
        </w:tc>
        <w:tc>
          <w:tcPr>
            <w:tcW w:w="0" w:type="dxa"/>
            <w:vAlign w:val="bottom"/>
          </w:tcPr>
          <w:p>
            <w:pPr>
              <w:spacing w:after="0"/>
              <w:rPr>
                <w:sz w:val="1"/>
                <w:szCs w:val="1"/>
                <w:color w:val="auto"/>
              </w:rPr>
            </w:pPr>
          </w:p>
        </w:tc>
      </w:tr>
      <w:tr>
        <w:trPr>
          <w:trHeight w:val="179"/>
        </w:trPr>
        <w:tc>
          <w:tcPr>
            <w:tcW w:w="3660" w:type="dxa"/>
            <w:vAlign w:val="bottom"/>
          </w:tcPr>
          <w:p>
            <w:pPr>
              <w:ind w:left="20"/>
              <w:spacing w:after="0"/>
              <w:rPr>
                <w:sz w:val="20"/>
                <w:szCs w:val="20"/>
                <w:color w:val="auto"/>
              </w:rPr>
            </w:pPr>
            <w:r>
              <w:rPr>
                <w:rFonts w:ascii="Arial" w:cs="Arial" w:eastAsia="Arial" w:hAnsi="Arial"/>
                <w:sz w:val="14"/>
                <w:szCs w:val="14"/>
                <w:color w:val="auto"/>
              </w:rPr>
              <w:t>Balance, March 31, 2021</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(23,402)</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(638,312)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314,026</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1,315,866</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1,036,956</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3,973</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3,973</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Reissued Shares</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1,751</w:t>
            </w:r>
          </w:p>
        </w:tc>
        <w:tc>
          <w:tcPr>
            <w:tcW w:w="20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912</w:t>
            </w:r>
          </w:p>
        </w:tc>
        <w:tc>
          <w:tcPr>
            <w:tcW w:w="2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2,663</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Repurchased Shares</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(911)</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(49,094)</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(49,094)</w:t>
            </w:r>
          </w:p>
        </w:tc>
        <w:tc>
          <w:tcPr>
            <w:tcW w:w="0" w:type="dxa"/>
            <w:vAlign w:val="bottom"/>
          </w:tcPr>
          <w:p>
            <w:pPr>
              <w:spacing w:after="0"/>
              <w:rPr>
                <w:sz w:val="1"/>
                <w:szCs w:val="1"/>
                <w:color w:val="auto"/>
              </w:rPr>
            </w:pPr>
          </w:p>
        </w:tc>
      </w:tr>
      <w:tr>
        <w:trPr>
          <w:trHeight w:val="186"/>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Earnings</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68,837</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68,837</w:t>
            </w:r>
          </w:p>
        </w:tc>
        <w:tc>
          <w:tcPr>
            <w:tcW w:w="0" w:type="dxa"/>
            <w:vAlign w:val="bottom"/>
          </w:tcPr>
          <w:p>
            <w:pPr>
              <w:spacing w:after="0"/>
              <w:rPr>
                <w:sz w:val="1"/>
                <w:szCs w:val="1"/>
                <w:color w:val="auto"/>
              </w:rPr>
            </w:pPr>
          </w:p>
        </w:tc>
      </w:tr>
      <w:tr>
        <w:trPr>
          <w:trHeight w:val="20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2021</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(24,252)</w:t>
            </w:r>
          </w:p>
        </w:tc>
        <w:tc>
          <w:tcPr>
            <w:tcW w:w="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(685,655)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45,376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318,911</w:t>
            </w:r>
          </w:p>
        </w:tc>
        <w:tc>
          <w:tcPr>
            <w:tcW w:w="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1,384,703</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1,063,335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60" w:type="dxa"/>
            <w:vAlign w:val="bottom"/>
            <w:vMerge w:val="continue"/>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6,667</w:t>
            </w:r>
          </w:p>
        </w:tc>
        <w:tc>
          <w:tcPr>
            <w:tcW w:w="24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6,667</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Reissued Shares</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(269)</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Repurchased Shares</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(1,125)</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(51,037)</w:t>
            </w:r>
          </w:p>
        </w:tc>
        <w:tc>
          <w:tcPr>
            <w:tcW w:w="20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(51,037)</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57,413</w:t>
            </w:r>
          </w:p>
        </w:tc>
        <w:tc>
          <w:tcPr>
            <w:tcW w:w="3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57,413</w:t>
            </w:r>
          </w:p>
        </w:tc>
        <w:tc>
          <w:tcPr>
            <w:tcW w:w="0" w:type="dxa"/>
            <w:vAlign w:val="bottom"/>
          </w:tcPr>
          <w:p>
            <w:pPr>
              <w:spacing w:after="0"/>
              <w:rPr>
                <w:sz w:val="1"/>
                <w:szCs w:val="1"/>
                <w:color w:val="auto"/>
              </w:rPr>
            </w:pPr>
          </w:p>
        </w:tc>
      </w:tr>
      <w:tr>
        <w:trPr>
          <w:trHeight w:val="179"/>
        </w:trPr>
        <w:tc>
          <w:tcPr>
            <w:tcW w:w="3660" w:type="dxa"/>
            <w:vAlign w:val="bottom"/>
          </w:tcPr>
          <w:p>
            <w:pPr>
              <w:ind w:left="20"/>
              <w:spacing w:after="0"/>
              <w:rPr>
                <w:sz w:val="20"/>
                <w:szCs w:val="20"/>
                <w:color w:val="auto"/>
              </w:rPr>
            </w:pPr>
            <w:r>
              <w:rPr>
                <w:rFonts w:ascii="Arial" w:cs="Arial" w:eastAsia="Arial" w:hAnsi="Arial"/>
                <w:sz w:val="14"/>
                <w:szCs w:val="14"/>
                <w:color w:val="auto"/>
              </w:rPr>
              <w:t>Balance, September 30, 2021</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(25,361)</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(736,345)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325,309</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1,442,116</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1,076,456</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224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2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6"/>
              </w:rPr>
              <w:t>(In Thousands, Except Per Share)</w:t>
            </w:r>
          </w:p>
        </w:tc>
        <w:tc>
          <w:tcPr>
            <w:tcW w:w="9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0"/>
                <w:szCs w:val="10"/>
                <w:color w:val="auto"/>
              </w:rPr>
            </w:pPr>
          </w:p>
        </w:tc>
        <w:tc>
          <w:tcPr>
            <w:tcW w:w="9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0"/>
                <w:szCs w:val="10"/>
                <w:color w:val="auto"/>
              </w:rPr>
            </w:pPr>
          </w:p>
        </w:tc>
        <w:tc>
          <w:tcPr>
            <w:tcW w:w="11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1"/>
              </w:rPr>
              <w:t>Common Stock</w:t>
            </w:r>
          </w:p>
        </w:tc>
        <w:tc>
          <w:tcPr>
            <w:tcW w:w="200" w:type="dxa"/>
            <w:vAlign w:val="bottom"/>
          </w:tcPr>
          <w:p>
            <w:pPr>
              <w:spacing w:after="0"/>
              <w:rPr>
                <w:sz w:val="10"/>
                <w:szCs w:val="10"/>
                <w:color w:val="auto"/>
              </w:rPr>
            </w:pPr>
          </w:p>
        </w:tc>
        <w:tc>
          <w:tcPr>
            <w:tcW w:w="1200" w:type="dxa"/>
            <w:vAlign w:val="bottom"/>
          </w:tcPr>
          <w:p>
            <w:pPr>
              <w:jc w:val="right"/>
              <w:ind w:right="288"/>
              <w:spacing w:after="0" w:line="122" w:lineRule="exact"/>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0"/>
                <w:szCs w:val="10"/>
                <w:color w:val="auto"/>
              </w:rPr>
            </w:pPr>
          </w:p>
        </w:tc>
        <w:tc>
          <w:tcPr>
            <w:tcW w:w="980" w:type="dxa"/>
            <w:vAlign w:val="bottom"/>
          </w:tcPr>
          <w:p>
            <w:pPr>
              <w:jc w:val="right"/>
              <w:ind w:right="248"/>
              <w:spacing w:after="0" w:line="122"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0"/>
                <w:szCs w:val="10"/>
                <w:color w:val="auto"/>
              </w:rPr>
            </w:pPr>
          </w:p>
        </w:tc>
        <w:tc>
          <w:tcPr>
            <w:tcW w:w="1380" w:type="dxa"/>
            <w:vAlign w:val="bottom"/>
          </w:tcPr>
          <w:p>
            <w:pPr>
              <w:jc w:val="right"/>
              <w:ind w:right="48"/>
              <w:spacing w:after="0" w:line="122" w:lineRule="exact"/>
              <w:rPr>
                <w:sz w:val="20"/>
                <w:szCs w:val="20"/>
                <w:color w:val="auto"/>
              </w:rPr>
            </w:pPr>
            <w:r>
              <w:rPr>
                <w:rFonts w:ascii="Arial" w:cs="Arial" w:eastAsia="Arial" w:hAnsi="Arial"/>
                <w:sz w:val="14"/>
                <w:szCs w:val="14"/>
                <w:b w:val="1"/>
                <w:bCs w:val="1"/>
                <w:color w:val="auto"/>
                <w:w w:val="95"/>
              </w:rPr>
              <w:t>Accumulated Other</w:t>
            </w:r>
          </w:p>
        </w:tc>
        <w:tc>
          <w:tcPr>
            <w:tcW w:w="132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auto"/>
                <w:w w:val="96"/>
              </w:rPr>
              <w:t>Total Shareholders’</w:t>
            </w:r>
          </w:p>
        </w:tc>
        <w:tc>
          <w:tcPr>
            <w:tcW w:w="0" w:type="dxa"/>
            <w:vAlign w:val="bottom"/>
          </w:tcPr>
          <w:p>
            <w:pPr>
              <w:spacing w:after="0"/>
              <w:rPr>
                <w:sz w:val="1"/>
                <w:szCs w:val="1"/>
                <w:color w:val="auto"/>
              </w:rPr>
            </w:pPr>
          </w:p>
        </w:tc>
      </w:tr>
      <w:tr>
        <w:trPr>
          <w:trHeight w:val="188"/>
        </w:trPr>
        <w:tc>
          <w:tcPr>
            <w:tcW w:w="22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Paid-in Capital</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8"/>
              </w:rPr>
              <w:t>Comprehensive Loss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(24,034)</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(627,940)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45,376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290,229</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2,029,613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1,737,259</w:t>
            </w: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35" w:lineRule="exact"/>
              <w:rPr>
                <w:sz w:val="20"/>
                <w:szCs w:val="20"/>
                <w:color w:val="auto"/>
              </w:rPr>
            </w:pPr>
            <w:r>
              <w:rPr>
                <w:rFonts w:ascii="Arial" w:cs="Arial" w:eastAsia="Arial" w:hAnsi="Arial"/>
                <w:sz w:val="14"/>
                <w:szCs w:val="14"/>
                <w:color w:val="auto"/>
                <w:w w:val="93"/>
              </w:rPr>
              <w:t>Opening Balance Sheet Adjustment -</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(6,715)</w:t>
            </w:r>
          </w:p>
        </w:tc>
        <w:tc>
          <w:tcPr>
            <w:tcW w:w="16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(6,715)</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ASU 2016-13, net of taxes</w:t>
            </w:r>
          </w:p>
        </w:tc>
        <w:tc>
          <w:tcPr>
            <w:tcW w:w="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$0.04 per share</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5,878</w:t>
            </w:r>
          </w:p>
        </w:tc>
        <w:tc>
          <w:tcPr>
            <w:tcW w:w="2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5,878</w:t>
            </w: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Reissued Shares</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7,291</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(12,640)</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(5,349)</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(280,005)</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(280,005)</w:t>
            </w: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Foreign Currency Translation</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(1,754)</w:t>
            </w:r>
          </w:p>
        </w:tc>
        <w:tc>
          <w:tcPr>
            <w:tcW w:w="2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(1,754)</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w:t>
            </w: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200" w:type="dxa"/>
            <w:vAlign w:val="bottom"/>
          </w:tcPr>
          <w:p>
            <w:pPr>
              <w:ind w:left="20"/>
              <w:spacing w:after="0"/>
              <w:rPr>
                <w:sz w:val="20"/>
                <w:szCs w:val="20"/>
                <w:color w:val="auto"/>
              </w:rPr>
            </w:pPr>
            <w:r>
              <w:rPr>
                <w:rFonts w:ascii="Arial" w:cs="Arial" w:eastAsia="Arial" w:hAnsi="Arial"/>
                <w:sz w:val="14"/>
                <w:szCs w:val="14"/>
                <w:color w:val="auto"/>
              </w:rPr>
              <w:t>Balance, March 31, 2020</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(23,666)</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(620,649)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283,467</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1,740,193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(1,773)</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1,446,614</w:t>
            </w:r>
          </w:p>
        </w:tc>
        <w:tc>
          <w:tcPr>
            <w:tcW w:w="0" w:type="dxa"/>
            <w:vAlign w:val="bottom"/>
          </w:tcPr>
          <w:p>
            <w:pPr>
              <w:spacing w:after="0"/>
              <w:rPr>
                <w:sz w:val="1"/>
                <w:szCs w:val="1"/>
                <w:color w:val="auto"/>
              </w:rPr>
            </w:pP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$0.04 per share</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(2,701)</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(2,701)</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6,856</w:t>
            </w:r>
          </w:p>
        </w:tc>
        <w:tc>
          <w:tcPr>
            <w:tcW w:w="2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6,856</w:t>
            </w: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Reissued Shares</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1,392</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Net Earnings</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68,377</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68,377</w:t>
            </w: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Foreign Currency Translation</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2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w:t>
            </w: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200" w:type="dxa"/>
            <w:vAlign w:val="bottom"/>
          </w:tcPr>
          <w:p>
            <w:pPr>
              <w:ind w:left="20"/>
              <w:spacing w:after="0"/>
              <w:rPr>
                <w:sz w:val="20"/>
                <w:szCs w:val="20"/>
                <w:color w:val="auto"/>
              </w:rPr>
            </w:pPr>
            <w:r>
              <w:rPr>
                <w:rFonts w:ascii="Arial" w:cs="Arial" w:eastAsia="Arial" w:hAnsi="Arial"/>
                <w:sz w:val="14"/>
                <w:szCs w:val="14"/>
                <w:color w:val="auto"/>
              </w:rPr>
              <w:t>Balance, June 30, 2020</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(23,613)</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(619,257)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290,653</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1,805,869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(1,442)</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1,521,199</w:t>
            </w:r>
          </w:p>
        </w:tc>
        <w:tc>
          <w:tcPr>
            <w:tcW w:w="0" w:type="dxa"/>
            <w:vAlign w:val="bottom"/>
          </w:tcPr>
          <w:p>
            <w:pPr>
              <w:spacing w:after="0"/>
              <w:rPr>
                <w:sz w:val="1"/>
                <w:szCs w:val="1"/>
                <w:color w:val="auto"/>
              </w:rPr>
            </w:pP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$0.04 per share</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(2,720)</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(2,720)</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8,891</w:t>
            </w:r>
          </w:p>
        </w:tc>
        <w:tc>
          <w:tcPr>
            <w:tcW w:w="2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8,891</w:t>
            </w: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Reissued Shares</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418</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1,895</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1,769</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Net Earnings</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109,345</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109,345</w:t>
            </w: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Foreign Currency Translation</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2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w:t>
            </w: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200" w:type="dxa"/>
            <w:vAlign w:val="bottom"/>
          </w:tcPr>
          <w:p>
            <w:pPr>
              <w:ind w:left="20"/>
              <w:spacing w:after="0"/>
              <w:rPr>
                <w:sz w:val="20"/>
                <w:szCs w:val="20"/>
                <w:color w:val="auto"/>
              </w:rPr>
            </w:pPr>
            <w:r>
              <w:rPr>
                <w:rFonts w:ascii="Arial" w:cs="Arial" w:eastAsia="Arial" w:hAnsi="Arial"/>
                <w:sz w:val="14"/>
                <w:szCs w:val="14"/>
                <w:color w:val="auto"/>
              </w:rPr>
              <w:t>Balance, September 30, 2020</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(23,195)</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(617,362)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299,418</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1,912,494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(1,244)</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1,638,682</w:t>
            </w:r>
          </w:p>
        </w:tc>
        <w:tc>
          <w:tcPr>
            <w:tcW w:w="0" w:type="dxa"/>
            <w:vAlign w:val="bottom"/>
          </w:tcPr>
          <w:p>
            <w:pPr>
              <w:spacing w:after="0"/>
              <w:rPr>
                <w:sz w:val="1"/>
                <w:szCs w:val="1"/>
                <w:color w:val="auto"/>
              </w:rPr>
            </w:pPr>
          </w:p>
        </w:tc>
      </w:tr>
      <w:tr>
        <w:trPr>
          <w:trHeight w:val="24"/>
        </w:trPr>
        <w:tc>
          <w:tcPr>
            <w:tcW w:w="2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issued 519,977 restricted stock units or restricted stock awards (collectively, "restricted stock") during the nine months ended September 30, 2021 to employees and directors, which vest over one to three-year periods. The weighted average fair value of the awards was $47.82, which was based on the fair market value of the Company’s common stock on the date of grants. The restricted stock grants are settled in common stock and are subject to continued employment to be earned. The Company will recognize the grant date fair value of the restricted stock as stock-based compensation expense over the requisite service period of one to three years.</w:t>
      </w:r>
    </w:p>
    <w:p>
      <w:pPr>
        <w:spacing w:after="0" w:line="5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The Company issued 568,168 performance share units during the nine months ended September 30, 2021 to certain employees, which vest over one to three-year periods for certain units and upon the achievement of specified performance conditions for other units. The weighted average fair value of the units was $48.74, which was based on the fair market value of the Company’s common stock on the date of grants. The performance share unit grants are settled in common stock and are subject to continued employment and achievement of specified performance conditions to be earned. The performance criteria vary by agreement and includes the following performance conditions: (i) adjusted pre-tax profit, (ii) return on investment capital, (iii) consolidated revenues, (iv) segment or business unit revenues, and/or (v) certain business development and technology initiatives. The number of performance share units that are ultimately issued are subject to payout percentages ranging from 0% up to a maximum of 100%, 200%, or 260% depending on the specified terms and conditions of the performance periods contained in each agreement. The Company will recognize the grant date fair value of the performance units as stock-based compensation expense over the estimated vesting period based on the Company's projected assessment of the performance conditions that are probable of being achieved in accordance with ASC 718, </w:t>
      </w:r>
      <w:r>
        <w:rPr>
          <w:rFonts w:ascii="Arial" w:cs="Arial" w:eastAsia="Arial" w:hAnsi="Arial"/>
          <w:sz w:val="16"/>
          <w:szCs w:val="16"/>
          <w:i w:val="1"/>
          <w:iCs w:val="1"/>
          <w:color w:val="auto"/>
        </w:rPr>
        <w:t>Stock-based Compensation</w:t>
      </w:r>
      <w:r>
        <w:rPr>
          <w:rFonts w:ascii="Arial" w:cs="Arial" w:eastAsia="Arial" w:hAnsi="Arial"/>
          <w:sz w:val="16"/>
          <w:szCs w:val="16"/>
          <w:color w:val="auto"/>
        </w:rPr>
        <w:t>.</w:t>
      </w:r>
    </w:p>
    <w:p>
      <w:pPr>
        <w:spacing w:after="0" w:line="4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During the three months ended June 30, 2021, the Company issued 267,503 restricted stock units or restricted stock awards and 421,318 performance share units, a significant portion of which were issued to key employees of Four on the June 25, 2021 acquisition date. These awards were excluded from the preliminary purchase price of Four and are recognized separate from the acquisition of assets and assumption of liabilities since all awards require post-acquisition employment with the Company as a condition for vesting. See further discussion on the acquisition in Note 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0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4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1—Valuations based on quoted prices for identical assets and liabilities in active markets.</w:t>
      </w:r>
    </w:p>
    <w:p>
      <w:pPr>
        <w:spacing w:after="0" w:line="104" w:lineRule="exact"/>
        <w:rPr>
          <w:sz w:val="20"/>
          <w:szCs w:val="20"/>
          <w:color w:val="auto"/>
        </w:rPr>
      </w:pPr>
    </w:p>
    <w:p>
      <w:pPr>
        <w:ind w:left="900" w:right="360"/>
        <w:spacing w:after="0" w:line="263" w:lineRule="auto"/>
        <w:rPr>
          <w:sz w:val="20"/>
          <w:szCs w:val="20"/>
          <w:color w:val="auto"/>
        </w:rPr>
      </w:pPr>
      <w:r>
        <w:rPr>
          <w:rFonts w:ascii="Arial" w:cs="Arial" w:eastAsia="Arial" w:hAnsi="Arial"/>
          <w:sz w:val="18"/>
          <w:szCs w:val="18"/>
          <w:color w:val="auto"/>
        </w:rPr>
        <w:t>Level 2—Valuations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2" w:lineRule="exact"/>
        <w:rPr>
          <w:sz w:val="20"/>
          <w:szCs w:val="20"/>
          <w:color w:val="auto"/>
        </w:rPr>
      </w:pPr>
    </w:p>
    <w:p>
      <w:pPr>
        <w:ind w:left="900" w:right="860"/>
        <w:spacing w:after="0" w:line="277" w:lineRule="auto"/>
        <w:rPr>
          <w:sz w:val="20"/>
          <w:szCs w:val="20"/>
          <w:color w:val="auto"/>
        </w:rPr>
      </w:pPr>
      <w:r>
        <w:rPr>
          <w:rFonts w:ascii="Arial" w:cs="Arial" w:eastAsia="Arial" w:hAnsi="Arial"/>
          <w:sz w:val="18"/>
          <w:szCs w:val="18"/>
          <w:color w:val="auto"/>
        </w:rPr>
        <w:t>Level 3—Valuations based on unobservable inputs reflecting the Company's own assumptions, consistent with reasonably available assumptions made by other market participants. These valuations require significant judgment.</w:t>
      </w:r>
    </w:p>
    <w:p>
      <w:pPr>
        <w:spacing w:after="0" w:line="3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measures a liability related to its non-qualified deferred compensation plan, which represents benefits accrued for plan participants and is valued at the quoted market prices of the participants' investment election, at fair value on a recurring basis. The Company maintains certain financial assets and liabilities that are not measured at fair value but for which fair value is disclosed.</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fair values of the Company's other current financial assets and liabilities, including cash and cash equivalents, accounts receivable and accounts payable, approximate their carrying values due to their short-term nature. The fair value of any revolving credit borrowings also approximate their carrying amounts.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Adoption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Facilitation of the Effects of Reference Rate Reform on Financial Reporting (Topic</w:t>
      </w:r>
    </w:p>
    <w:p>
      <w:pPr>
        <w:spacing w:after="0" w:line="46" w:lineRule="exact"/>
        <w:rPr>
          <w:sz w:val="20"/>
          <w:szCs w:val="20"/>
          <w:color w:val="auto"/>
        </w:rPr>
      </w:pPr>
    </w:p>
    <w:p>
      <w:pPr>
        <w:ind w:right="140" w:firstLine="8"/>
        <w:spacing w:after="0" w:line="271" w:lineRule="auto"/>
        <w:tabs>
          <w:tab w:leader="none" w:pos="375" w:val="left"/>
        </w:tabs>
        <w:numPr>
          <w:ilvl w:val="0"/>
          <w:numId w:val="5"/>
        </w:numPr>
        <w:rPr>
          <w:rFonts w:ascii="Arial" w:cs="Arial" w:eastAsia="Arial" w:hAnsi="Arial"/>
          <w:sz w:val="17"/>
          <w:szCs w:val="17"/>
          <w:i w:val="1"/>
          <w:iCs w:val="1"/>
          <w:color w:val="auto"/>
        </w:rPr>
      </w:pPr>
      <w:r>
        <w:rPr>
          <w:rFonts w:ascii="Arial" w:cs="Arial" w:eastAsia="Arial" w:hAnsi="Arial"/>
          <w:sz w:val="17"/>
          <w:szCs w:val="17"/>
          <w:color w:val="auto"/>
        </w:rPr>
        <w:t>("ASU 2020-04"). The standard provides temporary guidance to ease the potential burden in accounting for reference rate reform primarily resulting from the discontinuation of the London Interbank Overnight ("LIBO") rate or another reference rate expected to be discontinued. Entities may apply the provisions of the new standard as of the beginning of the reporting period when the election is made. The provisions of this update are only available until December 31, 2022, when the reference rate replacement activity is expected to have completed. The Company's Revolving Facility currently references the LIBO rate for determining interest payable on outstanding borrowings. The amendments in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ASU 2020-04 are elective and apply to all entities that have contracts referencing the LIBO rate. The new guidance provides an expedient which simplifies accounting analyses under current GAAP for contract modifications if the change is directly related to a change from the LIBO rate to a new interest rate index. The Company is continuing to evaluate the provisions of ASU 2020-04 and the impacts of transitioning to an alternative rate; however, we do not expect it to have a material impact to the Company's condensed consolidated financial statements or to any key terms of our Revolving Facility other than the discontinuation of the LIBO 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7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As discussed in Note 1 above, on November 30, 2020, PROG Holdings completed the separation and distribution of its Aaron's Business segment, and the requirements for the presentation of Aaron's Business as a discontinued operation were met on that date. Accordingly, all direct revenues and expenses of the Aaron's Business operations have been classified within discontinued operations, net of income tax, within our condensed consolidated statements of earnings for all periods through the separation and distribution date of November 30, 2020. Corporate overhead costs previously reported as expenses of the Aaron’s Business segment did not qualify for classification within discontinued operations and have been classified as expenses within continuing operations for all periods presented through the separation and distribution date of November 30, 2020. The following table summarizes the major classes of line items constituting the earnings (loss) of our Aaron's Business segment, which are included within the earnings (loss) from discontinued operations, net of income tax, in the condensed consolidated statements of earnings and the operating and investing cash flows of the discontinued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340" w:type="dxa"/>
            <w:vAlign w:val="bottom"/>
          </w:tcPr>
          <w:p>
            <w:pPr>
              <w:jc w:val="center"/>
              <w:ind w:right="15"/>
              <w:spacing w:after="0"/>
              <w:rPr>
                <w:sz w:val="20"/>
                <w:szCs w:val="20"/>
                <w:color w:val="auto"/>
              </w:rPr>
            </w:pPr>
            <w:r>
              <w:rPr>
                <w:rFonts w:ascii="Arial" w:cs="Arial" w:eastAsia="Arial" w:hAnsi="Arial"/>
                <w:sz w:val="14"/>
                <w:szCs w:val="14"/>
                <w:b w:val="1"/>
                <w:bCs w:val="1"/>
                <w:color w:val="auto"/>
                <w:w w:val="94"/>
              </w:rPr>
              <w:t>Nine Months Ended</w:t>
            </w:r>
          </w:p>
        </w:tc>
      </w:tr>
      <w:tr>
        <w:trPr>
          <w:trHeight w:val="186"/>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1"/>
              </w:rPr>
              <w:t>September 30,</w:t>
            </w:r>
          </w:p>
        </w:tc>
      </w:tr>
      <w:tr>
        <w:trPr>
          <w:trHeight w:val="184"/>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440,960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1,304,747</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Operating Profit (Loss)</w:t>
            </w:r>
          </w:p>
        </w:tc>
        <w:tc>
          <w:tcPr>
            <w:tcW w:w="20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45,963</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(379,078)</w:t>
            </w:r>
          </w:p>
        </w:tc>
      </w:tr>
      <w:tr>
        <w:trPr>
          <w:trHeight w:val="230"/>
        </w:trPr>
        <w:tc>
          <w:tcPr>
            <w:tcW w:w="8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Earnings (Loss) from Discontinued Operations Before Income Tax</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44,688</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(386,817)</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 from Discontinued Operations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(9,986)</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93,212</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from Discontinued Operations, Net of Income Tax</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34,702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(293,605)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Provided by Operating Activities - Discontinued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59,133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281,737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Investing Activities - Discontinued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(44,406)</w:t>
            </w:r>
          </w:p>
        </w:tc>
      </w:tr>
    </w:tbl>
    <w:p>
      <w:pPr>
        <w:spacing w:after="0" w:line="310" w:lineRule="exact"/>
        <w:rPr>
          <w:sz w:val="20"/>
          <w:szCs w:val="20"/>
          <w:color w:val="auto"/>
        </w:rPr>
      </w:pPr>
    </w:p>
    <w:p>
      <w:pPr>
        <w:ind w:right="100" w:firstLine="8"/>
        <w:spacing w:after="0" w:line="267" w:lineRule="auto"/>
        <w:tabs>
          <w:tab w:leader="none" w:pos="8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Loss from Discontinued Operations Before Income Tax during the nine months ended September 30, 2020 reflects a $446.9 million goodwill impairment loss related to the Aaron's Business segment and $14.1 million related to an early termination fee for a sales and marketing contract.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order to facilitate an effective separation and distribution, the Company entered into several agreements with The Aaron's Company, which govern the nature of the relationship between and responsibilities of the two companies following the separation. For more detailed information concerning the agreements, see Note 2 to the Company's Annual Report for the year ended December 31, 2020. No changes have been made to any of the agreements as of September 30, 2021. Payments and expense reimbursements for transition services were not material during the three and nine months ended September 30, 2021 and are not expected to be material in future periods.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June 25, 2021, the Company acquired 100% of the capital stock of Four Technologies, Inc. ("Four") for an estimated purchase price of $22.7 million in cash, inclusive of cash acquired. The estimated purchase price of $23.5 million on the acquisition date decreased by $0.8 million during the three months ended September 30, 2021 due to a preliminary working capital adjustment.</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Four is an innovative Buy Now, Pay Later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fintech offerings. Shoppers use Four to purchase furniture, clothing, electronics, health and beauty, footwear, jewelry, and other consumer goods from retailers across the United States.</w:t>
      </w:r>
    </w:p>
    <w:p>
      <w:pPr>
        <w:spacing w:after="0" w:line="6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amounts of revenue and loss before income taxes of Four included in our condensed consolidated statements of earnings from the acquisition date of June 25, 2021 through September 30, 2021 were not material to the Company's consolidated financial results. Additionally, the pro forma impacts on the Company's revenues and earnings as if the acquisition occurred on January 1, 2020 were immaterial.</w:t>
      </w:r>
    </w:p>
    <w:p>
      <w:pPr>
        <w:spacing w:after="0" w:line="4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purchase price of Four was preliminarily allocated to the underlying assets acquired and liabilities assumed based upon their estimated fair values at the date of acquisition. The following table provides the preliminary and adjusted fair values of the identifiable assets acquired and liabilities assumed as of the acquisition date.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68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w w:val="94"/>
              </w:rPr>
              <w:t>Amounts Recognized as</w:t>
            </w:r>
          </w:p>
        </w:tc>
        <w:tc>
          <w:tcPr>
            <w:tcW w:w="166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w w:val="97"/>
              </w:rPr>
              <w:t>Acquisition Accounting</w:t>
            </w: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Amounts Recognized as</w:t>
            </w:r>
          </w:p>
        </w:tc>
        <w:tc>
          <w:tcPr>
            <w:tcW w:w="0" w:type="dxa"/>
            <w:vAlign w:val="bottom"/>
          </w:tcPr>
          <w:p>
            <w:pPr>
              <w:spacing w:after="0"/>
              <w:rPr>
                <w:sz w:val="1"/>
                <w:szCs w:val="1"/>
                <w:color w:val="auto"/>
              </w:rPr>
            </w:pPr>
          </w:p>
        </w:tc>
      </w:tr>
      <w:tr>
        <w:trPr>
          <w:trHeight w:val="135"/>
        </w:trPr>
        <w:tc>
          <w:tcPr>
            <w:tcW w:w="6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5"/>
              </w:rPr>
              <w:t>of Acquisition Date (June</w:t>
            </w:r>
          </w:p>
        </w:tc>
        <w:tc>
          <w:tcPr>
            <w:tcW w:w="1660" w:type="dxa"/>
            <w:vAlign w:val="bottom"/>
            <w:gridSpan w:val="2"/>
            <w:vMerge w:val="continue"/>
          </w:tcPr>
          <w:p>
            <w:pPr>
              <w:spacing w:after="0"/>
              <w:rPr>
                <w:sz w:val="11"/>
                <w:szCs w:val="11"/>
                <w:color w:val="auto"/>
              </w:rPr>
            </w:pPr>
          </w:p>
        </w:tc>
        <w:tc>
          <w:tcPr>
            <w:tcW w:w="16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of Acquisition Date (as</w:t>
            </w:r>
          </w:p>
        </w:tc>
        <w:tc>
          <w:tcPr>
            <w:tcW w:w="0" w:type="dxa"/>
            <w:vAlign w:val="bottom"/>
          </w:tcPr>
          <w:p>
            <w:pPr>
              <w:spacing w:after="0"/>
              <w:rPr>
                <w:sz w:val="1"/>
                <w:szCs w:val="1"/>
                <w:color w:val="auto"/>
              </w:rPr>
            </w:pPr>
          </w:p>
        </w:tc>
      </w:tr>
      <w:tr>
        <w:trPr>
          <w:trHeight w:val="189"/>
        </w:trPr>
        <w:tc>
          <w:tcPr>
            <w:tcW w:w="62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71"/>
              <w:spacing w:after="0" w:line="189" w:lineRule="exact"/>
              <w:rPr>
                <w:sz w:val="20"/>
                <w:szCs w:val="20"/>
                <w:color w:val="auto"/>
              </w:rPr>
            </w:pPr>
            <w:r>
              <w:rPr>
                <w:rFonts w:ascii="Arial" w:cs="Arial" w:eastAsia="Arial" w:hAnsi="Arial"/>
                <w:sz w:val="14"/>
                <w:szCs w:val="14"/>
                <w:b w:val="1"/>
                <w:bCs w:val="1"/>
                <w:color w:val="auto"/>
              </w:rPr>
              <w:t>25, 2021)</w:t>
            </w:r>
            <w:r>
              <w:rPr>
                <w:rFonts w:ascii="Arial" w:cs="Arial" w:eastAsia="Arial" w:hAnsi="Arial"/>
                <w:sz w:val="18"/>
                <w:szCs w:val="18"/>
                <w:b w:val="1"/>
                <w:bCs w:val="1"/>
                <w:color w:val="auto"/>
                <w:vertAlign w:val="superscript"/>
              </w:rPr>
              <w:t>1</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11"/>
              <w:spacing w:after="0" w:line="189" w:lineRule="exact"/>
              <w:rPr>
                <w:sz w:val="20"/>
                <w:szCs w:val="20"/>
                <w:color w:val="auto"/>
              </w:rPr>
            </w:pPr>
            <w:r>
              <w:rPr>
                <w:rFonts w:ascii="Arial" w:cs="Arial" w:eastAsia="Arial" w:hAnsi="Arial"/>
                <w:sz w:val="14"/>
                <w:szCs w:val="14"/>
                <w:b w:val="1"/>
                <w:bCs w:val="1"/>
                <w:color w:val="auto"/>
              </w:rPr>
              <w:t>Adjustments</w:t>
            </w:r>
            <w:r>
              <w:rPr>
                <w:rFonts w:ascii="Arial" w:cs="Arial" w:eastAsia="Arial" w:hAnsi="Arial"/>
                <w:sz w:val="18"/>
                <w:szCs w:val="18"/>
                <w:b w:val="1"/>
                <w:bCs w:val="1"/>
                <w:color w:val="auto"/>
                <w:vertAlign w:val="superscript"/>
              </w:rPr>
              <w:t>2</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Purchase Price</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23,465</w:t>
            </w:r>
          </w:p>
        </w:tc>
        <w:tc>
          <w:tcPr>
            <w:tcW w:w="3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22,694</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Estimated Fair Value of Identifiable Assets Acquired and Liabilities Assumed</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530</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9"/>
        </w:trPr>
        <w:tc>
          <w:tcPr>
            <w:tcW w:w="6280" w:type="dxa"/>
            <w:vAlign w:val="bottom"/>
          </w:tcPr>
          <w:p>
            <w:pPr>
              <w:ind w:left="140"/>
              <w:spacing w:after="0" w:line="230" w:lineRule="exact"/>
              <w:rPr>
                <w:sz w:val="20"/>
                <w:szCs w:val="20"/>
                <w:color w:val="auto"/>
              </w:rPr>
            </w:pPr>
            <w:r>
              <w:rPr>
                <w:rFonts w:ascii="Arial" w:cs="Arial" w:eastAsia="Arial" w:hAnsi="Arial"/>
                <w:sz w:val="18"/>
                <w:szCs w:val="18"/>
                <w:color w:val="auto"/>
              </w:rPr>
              <w:t>Loans Receivable</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1,030</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(421)</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6280" w:type="dxa"/>
            <w:vAlign w:val="bottom"/>
          </w:tcPr>
          <w:p>
            <w:pPr>
              <w:ind w:left="140"/>
              <w:spacing w:after="0"/>
              <w:rPr>
                <w:sz w:val="20"/>
                <w:szCs w:val="20"/>
                <w:color w:val="auto"/>
              </w:rPr>
            </w:pPr>
            <w:r>
              <w:rPr>
                <w:rFonts w:ascii="Arial" w:cs="Arial" w:eastAsia="Arial" w:hAnsi="Arial"/>
                <w:sz w:val="18"/>
                <w:szCs w:val="18"/>
                <w:color w:val="auto"/>
              </w:rPr>
              <w:t>Other Intangibles</w:t>
            </w:r>
          </w:p>
        </w:tc>
        <w:tc>
          <w:tcPr>
            <w:tcW w:w="32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5,173</w:t>
            </w:r>
          </w:p>
        </w:tc>
        <w:tc>
          <w:tcPr>
            <w:tcW w:w="30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6280" w:type="dxa"/>
            <w:vAlign w:val="bottom"/>
          </w:tcPr>
          <w:p>
            <w:pPr>
              <w:ind w:left="340"/>
              <w:spacing w:after="0"/>
              <w:rPr>
                <w:sz w:val="20"/>
                <w:szCs w:val="20"/>
                <w:color w:val="auto"/>
              </w:rPr>
            </w:pPr>
            <w:r>
              <w:rPr>
                <w:rFonts w:ascii="Arial" w:cs="Arial" w:eastAsia="Arial" w:hAnsi="Arial"/>
                <w:sz w:val="18"/>
                <w:szCs w:val="18"/>
                <w:color w:val="auto"/>
              </w:rPr>
              <w:t>Total Identifiable Assets Acquired</w:t>
            </w:r>
          </w:p>
        </w:tc>
        <w:tc>
          <w:tcPr>
            <w:tcW w:w="32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6,991</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(638)</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6,353</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Income Tax Liability</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Assumed</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17,826</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17,848</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23,465</w:t>
            </w:r>
          </w:p>
        </w:tc>
        <w:tc>
          <w:tcPr>
            <w:tcW w:w="3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22,694</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100" w:hanging="92"/>
        <w:spacing w:after="0"/>
        <w:tabs>
          <w:tab w:leader="none" w:pos="10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As previously reported in the notes to the condensed consolidated financial statements as of June 30, 2021.</w:t>
      </w:r>
    </w:p>
    <w:p>
      <w:pPr>
        <w:ind w:right="500" w:firstLine="8"/>
        <w:spacing w:after="0" w:line="224" w:lineRule="auto"/>
        <w:tabs>
          <w:tab w:leader="none" w:pos="103"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The acquisition accounting adjustments are based on information obtained during the three months ended September 30, 2021 about conditions that existed as of the acquisition date regarding changes in working capital accounts.</w:t>
      </w:r>
    </w:p>
    <w:p>
      <w:pPr>
        <w:spacing w:after="0" w:line="1"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3</w:t>
      </w:r>
      <w:r>
        <w:rPr>
          <w:rFonts w:ascii="Arial" w:cs="Arial" w:eastAsia="Arial" w:hAnsi="Arial"/>
          <w:sz w:val="18"/>
          <w:szCs w:val="18"/>
          <w:color w:val="auto"/>
        </w:rPr>
        <w:t xml:space="preserve"> The gross contractual unpaid principal of acquired loans receivable was $1.1 million and we expect to collect $0.6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attributable to the acquisition are comprised of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436"/>
              <w:spacing w:after="0"/>
              <w:rPr>
                <w:sz w:val="20"/>
                <w:szCs w:val="20"/>
                <w:color w:val="auto"/>
              </w:rPr>
            </w:pPr>
            <w:r>
              <w:rPr>
                <w:rFonts w:ascii="Arial" w:cs="Arial" w:eastAsia="Arial" w:hAnsi="Arial"/>
                <w:sz w:val="14"/>
                <w:szCs w:val="14"/>
                <w:b w:val="1"/>
                <w:bCs w:val="1"/>
                <w:color w:val="auto"/>
              </w:rPr>
              <w:t>Fair Value</w:t>
            </w:r>
          </w:p>
        </w:tc>
        <w:tc>
          <w:tcPr>
            <w:tcW w:w="1760" w:type="dxa"/>
            <w:vAlign w:val="bottom"/>
          </w:tcPr>
          <w:p>
            <w:pPr>
              <w:jc w:val="right"/>
              <w:ind w:right="57"/>
              <w:spacing w:after="0"/>
              <w:rPr>
                <w:sz w:val="20"/>
                <w:szCs w:val="20"/>
                <w:color w:val="auto"/>
              </w:rPr>
            </w:pPr>
            <w:r>
              <w:rPr>
                <w:rFonts w:ascii="Arial" w:cs="Arial" w:eastAsia="Arial" w:hAnsi="Arial"/>
                <w:sz w:val="14"/>
                <w:szCs w:val="14"/>
                <w:b w:val="1"/>
                <w:bCs w:val="1"/>
                <w:color w:val="auto"/>
              </w:rPr>
              <w:t>Weighted Average Life</w:t>
            </w:r>
          </w:p>
        </w:tc>
      </w:tr>
      <w:tr>
        <w:trPr>
          <w:trHeight w:val="188"/>
        </w:trPr>
        <w:tc>
          <w:tcPr>
            <w:tcW w:w="7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(In Years)</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Tradename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587</w:t>
            </w:r>
          </w:p>
        </w:tc>
        <w:tc>
          <w:tcPr>
            <w:tcW w:w="17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Merchant relationships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7840" w:type="dxa"/>
            <w:vAlign w:val="bottom"/>
          </w:tcPr>
          <w:p>
            <w:pPr>
              <w:ind w:left="20"/>
              <w:spacing w:after="0" w:line="223" w:lineRule="exact"/>
              <w:rPr>
                <w:sz w:val="20"/>
                <w:szCs w:val="20"/>
                <w:color w:val="auto"/>
              </w:rPr>
            </w:pPr>
            <w:r>
              <w:rPr>
                <w:rFonts w:ascii="Arial" w:cs="Arial" w:eastAsia="Arial" w:hAnsi="Arial"/>
                <w:sz w:val="18"/>
                <w:szCs w:val="18"/>
                <w:color w:val="auto"/>
              </w:rPr>
              <w:t>Total Acquired Intangible Assets</w:t>
            </w:r>
            <w:r>
              <w:rPr>
                <w:rFonts w:ascii="Arial" w:cs="Arial" w:eastAsia="Arial" w:hAnsi="Arial"/>
                <w:sz w:val="23"/>
                <w:szCs w:val="23"/>
                <w:color w:val="auto"/>
                <w:vertAlign w:val="superscript"/>
              </w:rPr>
              <w:t>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5,173</w:t>
            </w:r>
          </w:p>
        </w:tc>
        <w:tc>
          <w:tcPr>
            <w:tcW w:w="1760" w:type="dxa"/>
            <w:vAlign w:val="bottom"/>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89" w:lineRule="exact"/>
        <w:rPr>
          <w:sz w:val="20"/>
          <w:szCs w:val="20"/>
          <w:color w:val="auto"/>
        </w:rPr>
      </w:pPr>
    </w:p>
    <w:p>
      <w:pPr>
        <w:ind w:left="100" w:hanging="92"/>
        <w:spacing w:after="0"/>
        <w:tabs>
          <w:tab w:leader="none" w:pos="10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Acquired definite-lived intangible assets have a total weighted average life of 4.7 years.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fair value measurements for acquired intangible assets were primarily based on significant unobservable inputs (level 3) developed using company-specific information. Goodwill consists of the excess of the estimated purchase price over the fair value of the net assets acquired and represents the Company's ability to provide a Buy Now, Pay Later product to PROG Holdings' existing base of retailers, merchants, and customers. The value of goodwill is not tax deductible.</w:t>
      </w:r>
    </w:p>
    <w:p>
      <w:pPr>
        <w:spacing w:after="0" w:line="6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values above reflect our preliminary purchase price allocation and may change as we finalize our assessments of the acquired assets and liabilities during the measurement period. Additional adjustments to the purchase price allocation may result from finalization of working capital adjustments and our assessment of the tax impacts of the assets and liabilities acquired, including potential acquired net operating loss carryforwards.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Company incurred $0.6 million of acquisition-related costs in connection with the acquisition during the nine months ended September 30, 2021.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costs were included in operating expenses in the condensed consolidated statements of earnings.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Measured at Fair Value on a Recurring Basis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liabilities measured at fair value on a recurring basis: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left="259"/>
              <w:spacing w:after="0"/>
              <w:rPr>
                <w:sz w:val="20"/>
                <w:szCs w:val="20"/>
                <w:color w:val="auto"/>
              </w:rPr>
            </w:pPr>
            <w:r>
              <w:rPr>
                <w:rFonts w:ascii="Arial" w:cs="Arial" w:eastAsia="Arial" w:hAnsi="Arial"/>
                <w:sz w:val="14"/>
                <w:szCs w:val="14"/>
                <w:b w:val="1"/>
                <w:bCs w:val="1"/>
                <w:color w:val="auto"/>
                <w:w w:val="91"/>
              </w:rPr>
              <w:t>September 30, 2021</w:t>
            </w: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left="279"/>
              <w:spacing w:after="0"/>
              <w:rPr>
                <w:sz w:val="20"/>
                <w:szCs w:val="20"/>
                <w:color w:val="auto"/>
              </w:rPr>
            </w:pPr>
            <w:r>
              <w:rPr>
                <w:rFonts w:ascii="Arial" w:cs="Arial" w:eastAsia="Arial" w:hAnsi="Arial"/>
                <w:sz w:val="14"/>
                <w:szCs w:val="14"/>
                <w:b w:val="1"/>
                <w:bCs w:val="1"/>
                <w:color w:val="auto"/>
                <w:w w:val="93"/>
              </w:rPr>
              <w:t>December 31, 2020</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7"/>
        </w:trPr>
        <w:tc>
          <w:tcPr>
            <w:tcW w:w="39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6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2"/>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12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w w:val="96"/>
              </w:rPr>
              <w:t>Level 1</w:t>
            </w: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6"/>
              </w:rPr>
              <w:t>Level 2</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24"/>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2,188</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1,740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8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Company maintains the PROG Holdings, Inc. Deferred Compensation Plan, which is an unfunded, nonqualified deferred compensation plan for a select group of management, highly compensated employees and non-employee directors. The liability is recorded in accounts payable and accrued expenses in the condensed consolidated balance sheets. The liability represents benefits accrued for plan participants and is valued at the quoted market prices of the participants’ investment elections, which consist of equity and debt "mirror" funds. As such, the Company has classified the deferred compensation liability as a Level 2 liability.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Not Measured at Fair Value for Which Fair Value is Disclosed</w:t>
      </w:r>
    </w:p>
    <w:p>
      <w:pPr>
        <w:spacing w:after="0" w:line="9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Vive's loans receivable are measured at amortized cost, net of an allowance for loan losses on the condensed consolidated balance sheets. In estimating fair value for Vive's loans receivable, the Company utilized a discounted cash flow methodology. The Company used various unobservable inputs reflecting its own assumptions, such as contractual future principal and interest cash flows, future loss rates, and discount rates (which consider current interest rates and are adjusted for credit risk, among other factors).</w:t>
      </w:r>
    </w:p>
    <w:p>
      <w:pPr>
        <w:spacing w:after="0" w:line="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Four's loans receivable on the condensed consolidated balance sheet as of September 30, 2021 approximated fair value based on a discounted cash flow methodology.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loans receivable held by Vive and Four: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4"/>
                <w:szCs w:val="14"/>
                <w:b w:val="1"/>
                <w:bCs w:val="1"/>
                <w:color w:val="auto"/>
                <w:w w:val="91"/>
              </w:rPr>
              <w:t>September 30, 2021</w:t>
            </w: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2020</w:t>
            </w:r>
          </w:p>
        </w:tc>
        <w:tc>
          <w:tcPr>
            <w:tcW w:w="960" w:type="dxa"/>
            <w:vAlign w:val="bottom"/>
            <w:tcBorders>
              <w:bottom w:val="single" w:sz="8" w:color="auto"/>
            </w:tcBorders>
          </w:tcPr>
          <w:p>
            <w:pPr>
              <w:spacing w:after="0"/>
              <w:rPr>
                <w:sz w:val="16"/>
                <w:szCs w:val="16"/>
                <w:color w:val="auto"/>
              </w:rPr>
            </w:pPr>
          </w:p>
        </w:tc>
      </w:tr>
      <w:tr>
        <w:trPr>
          <w:trHeight w:val="187"/>
        </w:trPr>
        <w:tc>
          <w:tcPr>
            <w:tcW w:w="36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6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99"/>
              <w:spacing w:after="0"/>
              <w:rPr>
                <w:sz w:val="20"/>
                <w:szCs w:val="20"/>
                <w:color w:val="auto"/>
              </w:rPr>
            </w:pPr>
            <w:r>
              <w:rPr>
                <w:rFonts w:ascii="Arial" w:cs="Arial" w:eastAsia="Arial" w:hAnsi="Arial"/>
                <w:sz w:val="14"/>
                <w:szCs w:val="14"/>
                <w:b w:val="1"/>
                <w:bCs w:val="1"/>
                <w:color w:val="auto"/>
                <w:w w:val="96"/>
              </w:rPr>
              <w:t>Level 2</w:t>
            </w: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Level 3</w:t>
            </w:r>
          </w:p>
        </w:tc>
      </w:tr>
      <w:tr>
        <w:trPr>
          <w:trHeight w:val="224"/>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Receivable, Net</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156,489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119,895</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LOANS RECEIVABLE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loans receivable,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Receivable, Gross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170,362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131,422</w:t>
            </w:r>
          </w:p>
        </w:tc>
      </w:tr>
      <w:tr>
        <w:trPr>
          <w:trHeight w:val="230"/>
        </w:trPr>
        <w:tc>
          <w:tcPr>
            <w:tcW w:w="7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Unamortized Fees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(12,928)</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(10,147)</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Receivable, Amortized Cost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157,434</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121,275</w:t>
            </w:r>
          </w:p>
        </w:tc>
      </w:tr>
      <w:tr>
        <w:trPr>
          <w:trHeight w:val="230"/>
        </w:trPr>
        <w:tc>
          <w:tcPr>
            <w:tcW w:w="7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Allowance for Loan Losses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(44,650)</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(42,127)</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Receivable, Net of Allowances and Unamortized Fees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112,784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79,148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credit quality indicators of the amortized cost of the Company's loans receivable by origination year: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September 30, 2021</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7"/>
              </w:rPr>
              <w:t>Prior</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FICO Score Category: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600 or Less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8,073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3,055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881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260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37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12,349</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Between 600 and 700</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76,736</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30,962</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9,416</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3,197</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1,729</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124,085</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700 or Greater</w:t>
            </w:r>
          </w:p>
        </w:tc>
        <w:tc>
          <w:tcPr>
            <w:tcW w:w="240" w:type="dxa"/>
            <w:vAlign w:val="bottom"/>
          </w:tcPr>
          <w:p>
            <w:pPr>
              <w:spacing w:after="0"/>
              <w:rPr>
                <w:sz w:val="19"/>
                <w:szCs w:val="19"/>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13,803</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4,123</w:t>
            </w:r>
          </w:p>
        </w:tc>
        <w:tc>
          <w:tcPr>
            <w:tcW w:w="36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929</w:t>
            </w:r>
          </w:p>
        </w:tc>
        <w:tc>
          <w:tcPr>
            <w:tcW w:w="240" w:type="dxa"/>
            <w:vAlign w:val="bottom"/>
          </w:tcPr>
          <w:p>
            <w:pPr>
              <w:spacing w:after="0"/>
              <w:rPr>
                <w:sz w:val="19"/>
                <w:szCs w:val="19"/>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537</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w:t>
            </w:r>
          </w:p>
        </w:tc>
        <w:tc>
          <w:tcPr>
            <w:tcW w:w="500" w:type="dxa"/>
            <w:vAlign w:val="bottom"/>
          </w:tcPr>
          <w:p>
            <w:pPr>
              <w:spacing w:after="0"/>
              <w:rPr>
                <w:sz w:val="19"/>
                <w:szCs w:val="19"/>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446</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20,157</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 Score Identified</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843</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color w:val="auto"/>
              </w:rPr>
              <w:t>Total Amortized Cost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99,455</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38,140</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11,226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3,994</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2,212</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157,434</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2540" w:type="dxa"/>
            <w:vAlign w:val="bottom"/>
            <w:tcBorders>
              <w:bottom w:val="single" w:sz="8" w:color="auto"/>
            </w:tcBorders>
            <w:gridSpan w:val="5"/>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5840" w:type="dxa"/>
            <w:vAlign w:val="bottom"/>
            <w:gridSpan w:val="6"/>
          </w:tcPr>
          <w:p>
            <w:pPr>
              <w:spacing w:after="0"/>
              <w:rPr>
                <w:sz w:val="20"/>
                <w:szCs w:val="20"/>
                <w:color w:val="auto"/>
              </w:rPr>
            </w:pPr>
            <w:r>
              <w:rPr>
                <w:rFonts w:ascii="Arial" w:cs="Arial" w:eastAsia="Arial" w:hAnsi="Arial"/>
                <w:sz w:val="18"/>
                <w:szCs w:val="18"/>
                <w:color w:val="auto"/>
                <w:w w:val="94"/>
              </w:rPr>
              <w:t>Included in the table below is an aging of the loans receivable, gross balance:</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(Dollar Amounts in Thousands)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Aging Category</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2021</w:t>
            </w:r>
          </w:p>
        </w:tc>
        <w:tc>
          <w:tcPr>
            <w:tcW w:w="186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30-59 days past due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6.1 %</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60-89 days past due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5"/>
              </w:rPr>
              <w:t>2.7 %</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90 or more days past due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3.6 %</w:t>
            </w:r>
          </w:p>
        </w:tc>
        <w:tc>
          <w:tcPr>
            <w:tcW w:w="7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color w:val="auto"/>
              </w:rPr>
              <w:t>Past due loans receivable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12.4 %</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loans receivable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87.6 %</w:t>
            </w:r>
          </w:p>
        </w:tc>
        <w:tc>
          <w:tcPr>
            <w:tcW w:w="7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88.6 %</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Balance of Credit Card Loans on Nonaccrual Status</w:t>
            </w:r>
          </w:p>
        </w:tc>
        <w:tc>
          <w:tcPr>
            <w:tcW w:w="3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2,819</w:t>
            </w: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color w:val="auto"/>
                <w:w w:val="90"/>
              </w:rPr>
              <w:t>Balance of Loans Receivable 90 or More Days Past Due and Still Accruing Interest and Fees</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19</w:t>
            </w: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present the components of the allowance for loan losses for the three and nine months ended September 30, 2021 and 2020:</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Three Months Ended September 30,</w:t>
            </w:r>
          </w:p>
        </w:tc>
      </w:tr>
      <w:tr>
        <w:trPr>
          <w:trHeight w:val="188"/>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45,151</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30,693</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Provision for Loan Losses</w:t>
            </w:r>
          </w:p>
        </w:tc>
        <w:tc>
          <w:tcPr>
            <w:tcW w:w="34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3,868</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7,611</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Charge-offs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w:t>
            </w:r>
          </w:p>
        </w:tc>
      </w:tr>
      <w:tr>
        <w:trPr>
          <w:trHeight w:val="230"/>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Recoveries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1,012</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44,650</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42,127</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14,911</w:t>
            </w:r>
          </w:p>
        </w:tc>
      </w:tr>
      <w:tr>
        <w:trPr>
          <w:trHeight w:val="229"/>
        </w:trPr>
        <w:tc>
          <w:tcPr>
            <w:tcW w:w="78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CECL Transition Adjustment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9,463</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Loan Losses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14,724</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23,761</w:t>
            </w: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Charge-offs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(15,031)</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(15,115)</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Recoveries</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2,830</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44,650</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35,415</w:t>
            </w:r>
          </w:p>
        </w:tc>
      </w:tr>
      <w:tr>
        <w:trPr>
          <w:trHeight w:val="21"/>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580" w:firstLine="8"/>
        <w:spacing w:after="0" w:line="267" w:lineRule="auto"/>
        <w:tabs>
          <w:tab w:leader="none" w:pos="103"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Upon the January 1, 2020 adoption of CECL, the Company increased its allowance for loan losses by $9.5 million. The increase was recorded as a cumulative-effect non-cash adjustment of $6.7 million, net of tax, to the opening balance of the Company's 2020 retained earnings.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Proceedings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Company is party to various legal and regulatory proceedings arising in the ordinary course of business.</w:t>
      </w:r>
    </w:p>
    <w:p>
      <w:pPr>
        <w:spacing w:after="0" w:line="9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Some of the proceedings to which the Company is currently a party are described below. The Company believes it has meritorious defenses to all of the claims described below, and intends to vigorously defend against the claims. However, these proceedings are still developing and due to the inherent uncertainty in litigation, regulatory and similar adversarial proceedings, there can be no guarantee that the Company will ultimately be successful in these proceedings, or in others to which it is currently a party. Substantial losses from these proceedings or the costs of defending them could have a material adverse impact upon the Company’s business, financial position and results of operations.</w:t>
      </w:r>
    </w:p>
    <w:p>
      <w:pPr>
        <w:spacing w:after="0" w:line="5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establishes an accrued liability for legal and regulatory proceedings when it determines that a loss is both probable and the amount of the loss can be reasonably estimated. The Company continually monitors its litigation and regulatory exposure and reviews the adequacy of its legal and regulatory reserves on a quarterly basis. The amount of any loss ultimately incurred in relation to matters for which an accrual has been established may be higher or lower than the amounts accrued for such matters.</w:t>
      </w:r>
    </w:p>
    <w:p>
      <w:pPr>
        <w:spacing w:after="0" w:line="6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of September 30, 2021 and December 31, 2020, the Company had accrued an immaterial amount for pending legal and regulatory matters for which it believes losses are probable and is the Company's best estimate of its exposure to loss. The Company records legal and regulatory liabilities in accounts payable and accrued expenses in the condensed consolidated balance sheets. The Company estimates that the aggregate range of reasonably possible loss in excess of accrued liabilities for such probable loss contingencies is between zero and $0.1 million.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September 30, 2021, the Company estimated that the aggregate range of loss for all material pending legal and regulatory proceedings for which a loss is reasonably possible, but less likely than probable (i.e., excluding the contingencies described in the preceding paragraph), is immaterial. Those matters for which a reasonable estimate is not possible are not included within estimated ranges and, therefore, the estimated ranges do not represent the Company's maximum loss exposure. The Company’s estimates for legal and regulatory accruals, aggregate probable loss amounts and reasonably possible loss amounts, are all subject to the uncertainties and variables described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Inquiries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January 2021, the Company, along with other lease-to-own companies, received a subpoena from the California Department of Financial Protection and Innovation (the "DFPI") requesting the production of documents regarding the Company’s compliance with state consumer protection laws, including new legislation that went into effect on January 1, 2021. Although the Company believes it is in compliance with all applicable consumer financial laws and regulations in California, this inquiry could lead to an enforcement action and/or a consent order, and substantial costs, including legal fees, fines, penalties, and remediation expenses. While the Company intends to preserve defenses surrounding the jurisdiction of DFPI in this matter, it anticipates cooperating with the DFPI in responding to its inquiry.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Matters</w:t>
      </w:r>
    </w:p>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Stein v. Aaron's, Inc., et. al.,</w:t>
      </w:r>
      <w:r>
        <w:rPr>
          <w:rFonts w:ascii="Arial" w:cs="Arial" w:eastAsia="Arial" w:hAnsi="Arial"/>
          <w:sz w:val="18"/>
          <w:szCs w:val="18"/>
          <w:color w:val="auto"/>
        </w:rPr>
        <w:t xml:space="preserve"> filed in the United States District Court for the Southern District of New York on February 28, 2020, the plaintiffs allege that from March 2, 2018 through February 19, 2020, the Company made certain misleading public statements about the Company's business, operations, and prospects. The allegations underlying the lawsuit principally relate to the FTC's inquiry into disclosures related to lease-to-own and other financial products offered by the Company through its historical Aaron's Business and Progressive Leasing segments. The Company believes the claims are without merit and intends to vigorously defend against this lawsuit. The case has been transferred to the United States District Court for the Northern District of Georgia, where the Company has filed a motion to dismiss the case and a final briefing on that motion was filed on November 17, 2020. No ruling has been made on the motion to dismiss.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0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Management regularly assesses the Company’s insurance deductibles, monitors the Company's litigation and regulatory exposure with the Company's attorneys and evaluates its loss experience. The Company also enters into various contracts in the normal course of business that may subject it to risk of financial loss if counterparties fail to perform their contractual obligations.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through its Vive segment, has unconditionally cancellable unfunded lending commitments totaling approximately $434.1 million and $287.3 million as of September 30, 2021 and December 31, 2020,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SEGMENTS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 Company has two reportable segments: Progressive Leasing and Vive.</w:t>
      </w:r>
    </w:p>
    <w:p>
      <w:pPr>
        <w:spacing w:after="0" w:line="104"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Progressive Leasing partners with traditional and e-commerce retailers, primarily in the furniture and appliance, jewelry, mobile phones and accessories, mattresses, and automobile electronics and accessories industries to offer a lease-purchase solution for customers who may not have access to traditional credit-based financing options. It does so by offering leases with monthly, semi-monthly, bi-weekly and weekly payment models.</w:t>
      </w:r>
    </w:p>
    <w:p>
      <w:pPr>
        <w:spacing w:after="0" w:line="1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Vive offers a variety of second-look financing programs originated through third-party federally insured banks to customers of participating merchants and, together with Progressive Leasing, allows the Company to provide retail partners with below-prime customers one source for financing and leasing transactions.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discussed in Note 1 above, the Company spun-off its Aaron's Business segment effective November 30, 2020 through the tax-free distribution of all outstanding common stock of The Aaron's Company, Inc. to the PROG Holdings shareholders. All direct revenues and expenses of the Aaron's Business operations have been classified within discontinued operations, net of income tax, within our condensed consolidated statements of earnings for all periods through the November 30, 2020 separation and distribution date.</w:t>
      </w:r>
    </w:p>
    <w:p>
      <w:pPr>
        <w:spacing w:after="0" w:line="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discussed in Note 3, on June 25, 2021, the Company completed the acquisition of Four, an innovative Buy Now, Pay Later company that allows shoppers to pay for merchandise through four interest-free installments. Four is not a reportable segment for the nine months ended September 30, 2021 as its revenues, loss before income taxes, and assets are not material to the Company's condensed consolidated financial results. The revenues, loss before income taxes, and assets within "other" below is primarily comprised of the operating activities of Four.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by source and by segment for the three months ended September 30, 2021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September 30, 2021</w:t>
            </w: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w w:val="95"/>
              </w:rPr>
              <w:t>Three Months Ended September 30, 2020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900" w:type="dxa"/>
            <w:vAlign w:val="bottom"/>
          </w:tcPr>
          <w:p>
            <w:pPr>
              <w:jc w:val="right"/>
              <w:ind w:right="84"/>
              <w:spacing w:after="0" w:line="135" w:lineRule="exact"/>
              <w:rPr>
                <w:sz w:val="20"/>
                <w:szCs w:val="20"/>
                <w:color w:val="auto"/>
              </w:rPr>
            </w:pPr>
            <w:r>
              <w:rPr>
                <w:rFonts w:ascii="Arial" w:cs="Arial" w:eastAsia="Arial" w:hAnsi="Arial"/>
                <w:sz w:val="14"/>
                <w:szCs w:val="14"/>
                <w:b w:val="1"/>
                <w:bCs w:val="1"/>
                <w:color w:val="auto"/>
                <w:w w:val="89"/>
              </w:rPr>
              <w:t>Progressive</w:t>
            </w:r>
          </w:p>
        </w:tc>
        <w:tc>
          <w:tcPr>
            <w:tcW w:w="280" w:type="dxa"/>
            <w:vAlign w:val="bottom"/>
          </w:tcPr>
          <w:p>
            <w:pPr>
              <w:spacing w:after="0"/>
              <w:rPr>
                <w:sz w:val="11"/>
                <w:szCs w:val="11"/>
                <w:color w:val="auto"/>
              </w:rPr>
            </w:pPr>
          </w:p>
        </w:tc>
        <w:tc>
          <w:tcPr>
            <w:tcW w:w="1020" w:type="dxa"/>
            <w:vAlign w:val="bottom"/>
            <w:vMerge w:val="restart"/>
          </w:tcPr>
          <w:p>
            <w:pPr>
              <w:jc w:val="right"/>
              <w:ind w:right="521"/>
              <w:spacing w:after="0"/>
              <w:rPr>
                <w:sz w:val="20"/>
                <w:szCs w:val="20"/>
                <w:color w:val="auto"/>
              </w:rPr>
            </w:pPr>
            <w:r>
              <w:rPr>
                <w:rFonts w:ascii="Arial" w:cs="Arial" w:eastAsia="Arial" w:hAnsi="Arial"/>
                <w:sz w:val="14"/>
                <w:szCs w:val="14"/>
                <w:b w:val="1"/>
                <w:bCs w:val="1"/>
                <w:color w:val="auto"/>
              </w:rPr>
              <w:t>Vive</w:t>
            </w:r>
          </w:p>
        </w:tc>
        <w:tc>
          <w:tcPr>
            <w:tcW w:w="1140" w:type="dxa"/>
            <w:vAlign w:val="bottom"/>
            <w:vMerge w:val="restart"/>
          </w:tcPr>
          <w:p>
            <w:pPr>
              <w:jc w:val="right"/>
              <w:ind w:right="561"/>
              <w:spacing w:after="0"/>
              <w:rPr>
                <w:sz w:val="20"/>
                <w:szCs w:val="20"/>
                <w:color w:val="auto"/>
              </w:rPr>
            </w:pPr>
            <w:r>
              <w:rPr>
                <w:rFonts w:ascii="Arial" w:cs="Arial" w:eastAsia="Arial" w:hAnsi="Arial"/>
                <w:sz w:val="14"/>
                <w:szCs w:val="14"/>
                <w:b w:val="1"/>
                <w:bCs w:val="1"/>
                <w:color w:val="auto"/>
              </w:rPr>
              <w:t>Other</w:t>
            </w:r>
          </w:p>
        </w:tc>
        <w:tc>
          <w:tcPr>
            <w:tcW w:w="74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900" w:type="dxa"/>
            <w:vAlign w:val="bottom"/>
          </w:tcPr>
          <w:p>
            <w:pPr>
              <w:jc w:val="right"/>
              <w:ind w:right="84"/>
              <w:spacing w:after="0" w:line="135" w:lineRule="exact"/>
              <w:rPr>
                <w:sz w:val="20"/>
                <w:szCs w:val="20"/>
                <w:color w:val="auto"/>
              </w:rPr>
            </w:pPr>
            <w:r>
              <w:rPr>
                <w:rFonts w:ascii="Arial" w:cs="Arial" w:eastAsia="Arial" w:hAnsi="Arial"/>
                <w:sz w:val="14"/>
                <w:szCs w:val="14"/>
                <w:b w:val="1"/>
                <w:bCs w:val="1"/>
                <w:color w:val="auto"/>
                <w:w w:val="89"/>
              </w:rPr>
              <w:t>Progressive</w:t>
            </w:r>
          </w:p>
        </w:tc>
        <w:tc>
          <w:tcPr>
            <w:tcW w:w="280" w:type="dxa"/>
            <w:vAlign w:val="bottom"/>
          </w:tcPr>
          <w:p>
            <w:pPr>
              <w:spacing w:after="0"/>
              <w:rPr>
                <w:sz w:val="11"/>
                <w:szCs w:val="11"/>
                <w:color w:val="auto"/>
              </w:rPr>
            </w:pPr>
          </w:p>
        </w:tc>
        <w:tc>
          <w:tcPr>
            <w:tcW w:w="1020" w:type="dxa"/>
            <w:vAlign w:val="bottom"/>
            <w:vMerge w:val="restart"/>
          </w:tcPr>
          <w:p>
            <w:pPr>
              <w:jc w:val="right"/>
              <w:ind w:right="521"/>
              <w:spacing w:after="0"/>
              <w:rPr>
                <w:sz w:val="20"/>
                <w:szCs w:val="20"/>
                <w:color w:val="auto"/>
              </w:rPr>
            </w:pPr>
            <w:r>
              <w:rPr>
                <w:rFonts w:ascii="Arial" w:cs="Arial" w:eastAsia="Arial" w:hAnsi="Arial"/>
                <w:sz w:val="14"/>
                <w:szCs w:val="14"/>
                <w:b w:val="1"/>
                <w:bCs w:val="1"/>
                <w:color w:val="auto"/>
              </w:rPr>
              <w:t>Vive</w:t>
            </w:r>
          </w:p>
        </w:tc>
        <w:tc>
          <w:tcPr>
            <w:tcW w:w="11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76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7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7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Lease Revenues and Fees</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635,025</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 $</w:t>
            </w: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635,025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601,105</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 $</w:t>
            </w:r>
          </w:p>
        </w:tc>
        <w:tc>
          <w:tcPr>
            <w:tcW w:w="11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601,105</w:t>
            </w:r>
          </w:p>
        </w:tc>
        <w:tc>
          <w:tcPr>
            <w:tcW w:w="0" w:type="dxa"/>
            <w:vAlign w:val="bottom"/>
          </w:tcPr>
          <w:p>
            <w:pPr>
              <w:spacing w:after="0"/>
              <w:rPr>
                <w:sz w:val="1"/>
                <w:szCs w:val="1"/>
                <w:color w:val="auto"/>
              </w:rPr>
            </w:pPr>
          </w:p>
        </w:tc>
      </w:tr>
      <w:tr>
        <w:trPr>
          <w:trHeight w:val="176"/>
        </w:trPr>
        <w:tc>
          <w:tcPr>
            <w:tcW w:w="2760" w:type="dxa"/>
            <w:vAlign w:val="bottom"/>
          </w:tcPr>
          <w:p>
            <w:pPr>
              <w:ind w:left="20"/>
              <w:spacing w:after="0" w:line="176" w:lineRule="exact"/>
              <w:rPr>
                <w:sz w:val="20"/>
                <w:szCs w:val="20"/>
                <w:color w:val="auto"/>
              </w:rPr>
            </w:pPr>
            <w:r>
              <w:rPr>
                <w:rFonts w:ascii="Arial" w:cs="Arial" w:eastAsia="Arial" w:hAnsi="Arial"/>
                <w:sz w:val="18"/>
                <w:szCs w:val="18"/>
                <w:color w:val="auto"/>
              </w:rPr>
              <w:t>Interest and Fees on Loans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Receivable</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15,212</w:t>
            </w:r>
          </w:p>
        </w:tc>
        <w:tc>
          <w:tcPr>
            <w:tcW w:w="11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168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15,380</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10,232</w:t>
            </w:r>
          </w:p>
        </w:tc>
        <w:tc>
          <w:tcPr>
            <w:tcW w:w="114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10,232</w:t>
            </w:r>
          </w:p>
        </w:tc>
        <w:tc>
          <w:tcPr>
            <w:tcW w:w="0" w:type="dxa"/>
            <w:vAlign w:val="bottom"/>
          </w:tcPr>
          <w:p>
            <w:pPr>
              <w:spacing w:after="0"/>
              <w:rPr>
                <w:sz w:val="1"/>
                <w:szCs w:val="1"/>
                <w:color w:val="auto"/>
              </w:rPr>
            </w:pPr>
          </w:p>
        </w:tc>
      </w:tr>
      <w:tr>
        <w:trPr>
          <w:trHeight w:val="234"/>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635,025</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15,212 $</w:t>
            </w: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168 $</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650,405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601,105</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10,232 $</w:t>
            </w:r>
          </w:p>
        </w:tc>
        <w:tc>
          <w:tcPr>
            <w:tcW w:w="11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611,337</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180" w:hanging="91"/>
        <w:spacing w:after="0"/>
        <w:tabs>
          <w:tab w:leader="none" w:pos="18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 xml:space="preserve">Revenue within the scope of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ind w:left="260" w:hanging="171"/>
        <w:spacing w:after="0" w:line="204" w:lineRule="auto"/>
        <w:tabs>
          <w:tab w:leader="none" w:pos="26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 xml:space="preserve">Revenue within the scope of ASC 310, </w:t>
      </w:r>
      <w:r>
        <w:rPr>
          <w:rFonts w:ascii="Arial" w:cs="Arial" w:eastAsia="Arial" w:hAnsi="Arial"/>
          <w:sz w:val="18"/>
          <w:szCs w:val="18"/>
          <w:i w:val="1"/>
          <w:iCs w:val="1"/>
          <w:color w:val="auto"/>
        </w:rPr>
        <w:t>Receivables</w:t>
      </w:r>
      <w:r>
        <w:rPr>
          <w:rFonts w:ascii="Arial" w:cs="Arial" w:eastAsia="Arial" w:hAnsi="Arial"/>
          <w:sz w:val="18"/>
          <w:szCs w:val="18"/>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by source and by segment for the nine months ended September 30, 2021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Nine Months Ended September 30, 2021</w:t>
            </w: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w w:val="95"/>
              </w:rPr>
              <w:t>Nine Months Ended September 30, 2020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900" w:type="dxa"/>
            <w:vAlign w:val="bottom"/>
          </w:tcPr>
          <w:p>
            <w:pPr>
              <w:jc w:val="right"/>
              <w:ind w:right="84"/>
              <w:spacing w:after="0" w:line="135" w:lineRule="exact"/>
              <w:rPr>
                <w:sz w:val="20"/>
                <w:szCs w:val="20"/>
                <w:color w:val="auto"/>
              </w:rPr>
            </w:pPr>
            <w:r>
              <w:rPr>
                <w:rFonts w:ascii="Arial" w:cs="Arial" w:eastAsia="Arial" w:hAnsi="Arial"/>
                <w:sz w:val="14"/>
                <w:szCs w:val="14"/>
                <w:b w:val="1"/>
                <w:bCs w:val="1"/>
                <w:color w:val="auto"/>
                <w:w w:val="89"/>
              </w:rPr>
              <w:t>Progressive</w:t>
            </w:r>
          </w:p>
        </w:tc>
        <w:tc>
          <w:tcPr>
            <w:tcW w:w="280" w:type="dxa"/>
            <w:vAlign w:val="bottom"/>
          </w:tcPr>
          <w:p>
            <w:pPr>
              <w:spacing w:after="0"/>
              <w:rPr>
                <w:sz w:val="11"/>
                <w:szCs w:val="11"/>
                <w:color w:val="auto"/>
              </w:rPr>
            </w:pPr>
          </w:p>
        </w:tc>
        <w:tc>
          <w:tcPr>
            <w:tcW w:w="1020" w:type="dxa"/>
            <w:vAlign w:val="bottom"/>
            <w:vMerge w:val="restart"/>
          </w:tcPr>
          <w:p>
            <w:pPr>
              <w:jc w:val="right"/>
              <w:ind w:right="521"/>
              <w:spacing w:after="0"/>
              <w:rPr>
                <w:sz w:val="20"/>
                <w:szCs w:val="20"/>
                <w:color w:val="auto"/>
              </w:rPr>
            </w:pPr>
            <w:r>
              <w:rPr>
                <w:rFonts w:ascii="Arial" w:cs="Arial" w:eastAsia="Arial" w:hAnsi="Arial"/>
                <w:sz w:val="14"/>
                <w:szCs w:val="14"/>
                <w:b w:val="1"/>
                <w:bCs w:val="1"/>
                <w:color w:val="auto"/>
              </w:rPr>
              <w:t>Vive</w:t>
            </w:r>
          </w:p>
        </w:tc>
        <w:tc>
          <w:tcPr>
            <w:tcW w:w="1100" w:type="dxa"/>
            <w:vAlign w:val="bottom"/>
            <w:vMerge w:val="restart"/>
          </w:tcPr>
          <w:p>
            <w:pPr>
              <w:jc w:val="right"/>
              <w:ind w:right="521"/>
              <w:spacing w:after="0"/>
              <w:rPr>
                <w:sz w:val="20"/>
                <w:szCs w:val="20"/>
                <w:color w:val="auto"/>
              </w:rPr>
            </w:pPr>
            <w:r>
              <w:rPr>
                <w:rFonts w:ascii="Arial" w:cs="Arial" w:eastAsia="Arial" w:hAnsi="Arial"/>
                <w:sz w:val="14"/>
                <w:szCs w:val="14"/>
                <w:b w:val="1"/>
                <w:bCs w:val="1"/>
                <w:color w:val="auto"/>
              </w:rPr>
              <w:t>Other</w:t>
            </w:r>
          </w:p>
        </w:tc>
        <w:tc>
          <w:tcPr>
            <w:tcW w:w="78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900" w:type="dxa"/>
            <w:vAlign w:val="bottom"/>
          </w:tcPr>
          <w:p>
            <w:pPr>
              <w:jc w:val="right"/>
              <w:ind w:right="84"/>
              <w:spacing w:after="0" w:line="135" w:lineRule="exact"/>
              <w:rPr>
                <w:sz w:val="20"/>
                <w:szCs w:val="20"/>
                <w:color w:val="auto"/>
              </w:rPr>
            </w:pPr>
            <w:r>
              <w:rPr>
                <w:rFonts w:ascii="Arial" w:cs="Arial" w:eastAsia="Arial" w:hAnsi="Arial"/>
                <w:sz w:val="14"/>
                <w:szCs w:val="14"/>
                <w:b w:val="1"/>
                <w:bCs w:val="1"/>
                <w:color w:val="auto"/>
                <w:w w:val="89"/>
              </w:rPr>
              <w:t>Progressive</w:t>
            </w:r>
          </w:p>
        </w:tc>
        <w:tc>
          <w:tcPr>
            <w:tcW w:w="280" w:type="dxa"/>
            <w:vAlign w:val="bottom"/>
          </w:tcPr>
          <w:p>
            <w:pPr>
              <w:spacing w:after="0"/>
              <w:rPr>
                <w:sz w:val="11"/>
                <w:szCs w:val="11"/>
                <w:color w:val="auto"/>
              </w:rPr>
            </w:pPr>
          </w:p>
        </w:tc>
        <w:tc>
          <w:tcPr>
            <w:tcW w:w="1020" w:type="dxa"/>
            <w:vAlign w:val="bottom"/>
            <w:vMerge w:val="restart"/>
          </w:tcPr>
          <w:p>
            <w:pPr>
              <w:jc w:val="right"/>
              <w:ind w:right="521"/>
              <w:spacing w:after="0"/>
              <w:rPr>
                <w:sz w:val="20"/>
                <w:szCs w:val="20"/>
                <w:color w:val="auto"/>
              </w:rPr>
            </w:pPr>
            <w:r>
              <w:rPr>
                <w:rFonts w:ascii="Arial" w:cs="Arial" w:eastAsia="Arial" w:hAnsi="Arial"/>
                <w:sz w:val="14"/>
                <w:szCs w:val="14"/>
                <w:b w:val="1"/>
                <w:bCs w:val="1"/>
                <w:color w:val="auto"/>
              </w:rPr>
              <w:t>Vive</w:t>
            </w:r>
          </w:p>
        </w:tc>
        <w:tc>
          <w:tcPr>
            <w:tcW w:w="11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80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7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7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Lease Revenues and Fees</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1,989,055</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1,989,055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1,849,388</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1,849,388</w:t>
            </w:r>
          </w:p>
        </w:tc>
        <w:tc>
          <w:tcPr>
            <w:tcW w:w="0" w:type="dxa"/>
            <w:vAlign w:val="bottom"/>
          </w:tcPr>
          <w:p>
            <w:pPr>
              <w:spacing w:after="0"/>
              <w:rPr>
                <w:sz w:val="1"/>
                <w:szCs w:val="1"/>
                <w:color w:val="auto"/>
              </w:rPr>
            </w:pPr>
          </w:p>
        </w:tc>
      </w:tr>
      <w:tr>
        <w:trPr>
          <w:trHeight w:val="175"/>
        </w:trPr>
        <w:tc>
          <w:tcPr>
            <w:tcW w:w="2760" w:type="dxa"/>
            <w:vAlign w:val="bottom"/>
          </w:tcPr>
          <w:p>
            <w:pPr>
              <w:ind w:left="20"/>
              <w:spacing w:after="0" w:line="176" w:lineRule="exact"/>
              <w:rPr>
                <w:sz w:val="20"/>
                <w:szCs w:val="20"/>
                <w:color w:val="auto"/>
              </w:rPr>
            </w:pPr>
            <w:r>
              <w:rPr>
                <w:rFonts w:ascii="Arial" w:cs="Arial" w:eastAsia="Arial" w:hAnsi="Arial"/>
                <w:sz w:val="18"/>
                <w:szCs w:val="18"/>
                <w:color w:val="auto"/>
              </w:rPr>
              <w:t>Interest and Fees on Loans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Receivable</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42,154</w:t>
            </w:r>
          </w:p>
        </w:tc>
        <w:tc>
          <w:tcPr>
            <w:tcW w:w="11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168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42,322</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29,555</w:t>
            </w:r>
          </w:p>
        </w:tc>
        <w:tc>
          <w:tcPr>
            <w:tcW w:w="110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29,555</w:t>
            </w:r>
          </w:p>
        </w:tc>
        <w:tc>
          <w:tcPr>
            <w:tcW w:w="0" w:type="dxa"/>
            <w:vAlign w:val="bottom"/>
          </w:tcPr>
          <w:p>
            <w:pPr>
              <w:spacing w:after="0"/>
              <w:rPr>
                <w:sz w:val="1"/>
                <w:szCs w:val="1"/>
                <w:color w:val="auto"/>
              </w:rPr>
            </w:pPr>
          </w:p>
        </w:tc>
      </w:tr>
      <w:tr>
        <w:trPr>
          <w:trHeight w:val="235"/>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1,989,055</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42,154 $</w:t>
            </w:r>
          </w:p>
        </w:tc>
        <w:tc>
          <w:tcPr>
            <w:tcW w:w="11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168 $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2,031,377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1,849,388</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29,555 $</w:t>
            </w:r>
          </w:p>
        </w:tc>
        <w:tc>
          <w:tcPr>
            <w:tcW w:w="11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1,878,943</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180" w:hanging="91"/>
        <w:spacing w:after="0"/>
        <w:tabs>
          <w:tab w:leader="none" w:pos="18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 xml:space="preserve">Revenue within the scope of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ind w:left="180" w:hanging="91"/>
        <w:spacing w:after="0" w:line="204" w:lineRule="auto"/>
        <w:tabs>
          <w:tab w:leader="none" w:pos="18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 xml:space="preserve">Revenue within the scope of ASC 310, </w:t>
      </w:r>
      <w:r>
        <w:rPr>
          <w:rFonts w:ascii="Arial" w:cs="Arial" w:eastAsia="Arial" w:hAnsi="Arial"/>
          <w:sz w:val="18"/>
          <w:szCs w:val="18"/>
          <w:i w:val="1"/>
          <w:iCs w:val="1"/>
          <w:color w:val="auto"/>
        </w:rPr>
        <w:t>Receivables</w:t>
      </w:r>
      <w:r>
        <w:rPr>
          <w:rFonts w:ascii="Arial" w:cs="Arial" w:eastAsia="Arial" w:hAnsi="Arial"/>
          <w:sz w:val="18"/>
          <w:szCs w:val="18"/>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 of Segment Profit or Loss and Segment Assets</w:t>
      </w:r>
    </w:p>
    <w:p>
      <w:pPr>
        <w:spacing w:after="0" w:line="10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Company evaluates performance and allocates resources based on revenues and earnings (loss) before income taxes from operations. The Company determines earnings (loss) before income taxes for all reportable segments in accordance with U.S. GAAP. Interest expense is allocated from the Progressive Leasing segment to the Vive segment based on the balance of outstanding intercompany debt.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left="60" w:right="20"/>
        <w:spacing w:after="0" w:line="287" w:lineRule="auto"/>
        <w:rPr>
          <w:sz w:val="20"/>
          <w:szCs w:val="20"/>
          <w:color w:val="auto"/>
        </w:rPr>
      </w:pPr>
      <w:r>
        <w:rPr>
          <w:rFonts w:ascii="Arial" w:cs="Arial" w:eastAsia="Arial" w:hAnsi="Arial"/>
          <w:sz w:val="16"/>
          <w:szCs w:val="16"/>
          <w:color w:val="auto"/>
        </w:rPr>
        <w:t>The Company incurred various corporate overhead expenses for certain executive management, finance, treasury, tax, audit, legal, risk management, and other overhead functions during the three and nine months ended September 30, 2021 and 2020. For 2020, the Company allocated a predetermined portion of these corporate overhead costs to the Progressive Leasing and Vive segments, which are reflected as expenses of these segments in calculating the earnings before income taxes for the three and nine months ended September 30, 2020. The remaining unallocated corporate expenses represent corporate overhead costs that were previously assigned to the Aaron's Business segment and are in addition to the overhead costs allocated to the Progressive Leasing and Vive segments for the three and nine months ended September 30, 2020. These unallocated corporate overhead expenses have been classified as continuing operations since the costs were not directly attributable to the discontinued operations of the Aaron's Business. These costs are reflected below as unallocated corporate expenses in 2020. The allocation of corporate overhead costs to the Progressive Leasing and Vive segments is consistent with how the chief operating decision maker analyzed performance and allocated resources among the segments of the Company during 2020. For the three and nine months ended September 30, 2021, corporate overhead expenses incurred are primarily reflected as expenses of the Progressive Leasing segment and an immaterial amount was allocated to the Vive segment. The following is a summary of earnings before income taxes by segment: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Income Taxes:</w:t>
            </w:r>
          </w:p>
        </w:tc>
        <w:tc>
          <w:tcPr>
            <w:tcW w:w="3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Progressive Leasing</w:t>
            </w:r>
          </w:p>
        </w:tc>
        <w:tc>
          <w:tcPr>
            <w:tcW w:w="3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76,435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106,682</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Vive</w:t>
            </w:r>
          </w:p>
        </w:tc>
        <w:tc>
          <w:tcPr>
            <w:tcW w:w="3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3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Other</w:t>
            </w:r>
          </w:p>
        </w:tc>
        <w:tc>
          <w:tcPr>
            <w:tcW w:w="3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(4,912)</w:t>
            </w:r>
          </w:p>
        </w:tc>
        <w:tc>
          <w:tcPr>
            <w:tcW w:w="30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Unallocated Corporate Expenses</w:t>
            </w:r>
          </w:p>
        </w:tc>
        <w:tc>
          <w:tcPr>
            <w:tcW w:w="3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Total Earnings Before Income Taxes</w:t>
            </w:r>
          </w:p>
        </w:tc>
        <w:tc>
          <w:tcPr>
            <w:tcW w:w="3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77,877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95,648</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40" w:type="dxa"/>
            <w:vAlign w:val="bottom"/>
            <w:gridSpan w:val="4"/>
          </w:tcPr>
          <w:p>
            <w:pPr>
              <w:jc w:val="right"/>
              <w:ind w:right="1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4"/>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0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Earnings Before Income Taxes:</w:t>
            </w:r>
          </w:p>
        </w:tc>
        <w:tc>
          <w:tcPr>
            <w:tcW w:w="30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60" w:type="dxa"/>
            <w:vAlign w:val="bottom"/>
          </w:tcPr>
          <w:p>
            <w:pPr>
              <w:ind w:left="260"/>
              <w:spacing w:after="0"/>
              <w:rPr>
                <w:sz w:val="20"/>
                <w:szCs w:val="20"/>
                <w:color w:val="auto"/>
              </w:rPr>
            </w:pPr>
            <w:r>
              <w:rPr>
                <w:rFonts w:ascii="Arial" w:cs="Arial" w:eastAsia="Arial" w:hAnsi="Arial"/>
                <w:sz w:val="18"/>
                <w:szCs w:val="18"/>
                <w:color w:val="auto"/>
              </w:rPr>
              <w:t>Progressive Leasing</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268,128</w:t>
            </w:r>
          </w:p>
        </w:tc>
        <w:tc>
          <w:tcPr>
            <w:tcW w:w="30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232,502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Vive</w:t>
            </w:r>
          </w:p>
        </w:tc>
        <w:tc>
          <w:tcPr>
            <w:tcW w:w="3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12,131</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60" w:type="dxa"/>
            <w:vAlign w:val="bottom"/>
          </w:tcPr>
          <w:p>
            <w:pPr>
              <w:ind w:left="260"/>
              <w:spacing w:after="0"/>
              <w:rPr>
                <w:sz w:val="20"/>
                <w:szCs w:val="20"/>
                <w:color w:val="auto"/>
              </w:rPr>
            </w:pPr>
            <w:r>
              <w:rPr>
                <w:rFonts w:ascii="Arial" w:cs="Arial" w:eastAsia="Arial" w:hAnsi="Arial"/>
                <w:sz w:val="18"/>
                <w:szCs w:val="18"/>
                <w:color w:val="auto"/>
              </w:rPr>
              <w:t>Other</w:t>
            </w:r>
          </w:p>
        </w:tc>
        <w:tc>
          <w:tcPr>
            <w:tcW w:w="3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(4,912)</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Unallocated Corporate Expenses</w:t>
            </w:r>
          </w:p>
        </w:tc>
        <w:tc>
          <w:tcPr>
            <w:tcW w:w="30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Total Earnings Before Income Taxes</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275,347</w:t>
            </w:r>
          </w:p>
        </w:tc>
        <w:tc>
          <w:tcPr>
            <w:tcW w:w="30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205,237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60" w:type="dxa"/>
            <w:vAlign w:val="bottom"/>
            <w:vMerge w:val="restart"/>
          </w:tcPr>
          <w:p>
            <w:pPr>
              <w:spacing w:after="0"/>
              <w:rPr>
                <w:sz w:val="20"/>
                <w:szCs w:val="20"/>
                <w:color w:val="auto"/>
              </w:rPr>
            </w:pPr>
            <w:r>
              <w:rPr>
                <w:rFonts w:ascii="Arial" w:cs="Arial" w:eastAsia="Arial" w:hAnsi="Arial"/>
                <w:sz w:val="18"/>
                <w:szCs w:val="18"/>
                <w:color w:val="auto"/>
              </w:rPr>
              <w:t>The following is a summary of total assets by segment:</w:t>
            </w:r>
          </w:p>
        </w:tc>
        <w:tc>
          <w:tcPr>
            <w:tcW w:w="30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9"/>
        </w:trPr>
        <w:tc>
          <w:tcPr>
            <w:tcW w:w="6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3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0" w:type="dxa"/>
            <w:vAlign w:val="bottom"/>
          </w:tcPr>
          <w:p>
            <w:pPr>
              <w:spacing w:after="0"/>
              <w:rPr>
                <w:sz w:val="24"/>
                <w:szCs w:val="24"/>
                <w:color w:val="auto"/>
              </w:rPr>
            </w:pP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4"/>
              </w:rPr>
              <w:t>September 30, 2021</w:t>
            </w: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Progressive Leasing</w:t>
            </w:r>
          </w:p>
        </w:tc>
        <w:tc>
          <w:tcPr>
            <w:tcW w:w="3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1,287,884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1,209,650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Vive</w:t>
            </w:r>
          </w:p>
        </w:tc>
        <w:tc>
          <w:tcPr>
            <w:tcW w:w="3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142,155</w:t>
            </w:r>
          </w:p>
        </w:tc>
        <w:tc>
          <w:tcPr>
            <w:tcW w:w="3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107,754</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0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24,219</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8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1,454,258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1,317,404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bottom w:val="single" w:sz="8" w:color="CCEEFF"/>
            </w:tcBorders>
            <w:vMerge w:val="restart"/>
          </w:tcPr>
          <w:p>
            <w:pPr>
              <w:jc w:val="right"/>
              <w:ind w:right="1970"/>
              <w:spacing w:after="0"/>
              <w:rPr>
                <w:sz w:val="20"/>
                <w:szCs w:val="20"/>
                <w:color w:val="auto"/>
              </w:rPr>
            </w:pPr>
            <w:r>
              <w:rPr>
                <w:rFonts w:ascii="Arial" w:cs="Arial" w:eastAsia="Arial" w:hAnsi="Arial"/>
                <w:sz w:val="18"/>
                <w:szCs w:val="18"/>
                <w:color w:val="auto"/>
              </w:rPr>
              <w:t>23</w:t>
            </w: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26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right="360"/>
        <w:spacing w:after="0" w:line="271" w:lineRule="auto"/>
        <w:rPr>
          <w:sz w:val="20"/>
          <w:szCs w:val="20"/>
          <w:color w:val="auto"/>
        </w:rPr>
      </w:pPr>
      <w:r>
        <w:rPr>
          <w:rFonts w:ascii="Arial" w:cs="Arial" w:eastAsia="Arial" w:hAnsi="Arial"/>
          <w:sz w:val="16"/>
          <w:szCs w:val="16"/>
          <w:i w:val="1"/>
          <w:iCs w:val="1"/>
          <w:color w:val="auto"/>
        </w:rPr>
        <w:t>Special Note Regarding Forward-Looking Information: Except for historical information contained herein, the matters set forth in this Form 10-Q are forward-looking statements. These statements are based on management’s current expectations and plans, which involve risks and uncertainties. Such forward-looking statements generally can be identified by the use of forward-looking terminology such as "anticipate," "believe," "could," "estimate,"</w:t>
      </w:r>
    </w:p>
    <w:p>
      <w:pPr>
        <w:jc w:val="both"/>
        <w:ind w:right="20"/>
        <w:spacing w:after="0" w:line="264" w:lineRule="auto"/>
        <w:rPr>
          <w:sz w:val="20"/>
          <w:szCs w:val="20"/>
          <w:color w:val="auto"/>
        </w:rPr>
      </w:pPr>
      <w:r>
        <w:rPr>
          <w:rFonts w:ascii="Arial" w:cs="Arial" w:eastAsia="Arial" w:hAnsi="Arial"/>
          <w:sz w:val="16"/>
          <w:szCs w:val="16"/>
          <w:i w:val="1"/>
          <w:iCs w:val="1"/>
          <w:color w:val="auto"/>
        </w:rPr>
        <w:t>"expect," "intend," "plan," "project," "would," "should," and similar expressions. You are cautioned not to place undue reliance on these forward-looking statements, which speak only as of the filing date of this Quarterly Report and which involve risks and uncertainties that may cause actual results to differ materially from those set forth in these statements. These risks and uncertainties include factors that could cause our actual results and financial condition to differ materially from those expressed or implied in our forward-looking statements. Such risks and uncertainties include, among others, those discussed in "Item 1A. Risk Factors" in the Company's Annual Report on Form 10-K for the fiscal year ended December 31, 2020 (the "2020 Annual Report").</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Except as required by law, the Company undertakes no obligation to update these forward-looking statements to reflect subsequent events or circumstances after the filing date of this Quarterly Report.</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as of and for the three and nine months ended September 30, 2021 and 2020, including the notes to those statements, appearing elsewhere in this report. We also suggest that management’s discussion and analysis appearing in this report be read in conjunction with the management’s discussion and analysis and consolidated financial statements included in our 2020 Annual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4"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PROG Holdings, Inc. ("we," "our," "us," the "Company", or "PROG Holdings") is a financial technology holding company with two operating and reportable segments: (i) Progressive Leasing, a leading provider of in-store, e-commerce and mobile app-based lease-to-own solutions; and (ii) Vive Financial ("Vive"), which offers omnichannel second-look revolving credit products.</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Progressive Leasing segment provides consumers with lease-purchase solutions through its point-of-sale partner locations and e-commerce website partners in the United States (collectively, "POS partners").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spacing w:after="0" w:line="5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spacing w:after="0" w:line="5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On June 25, 2021, the Company completed the acquisition of Four Technologies, Inc. ("Four"), an innovative Buy Now, Pay Later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fintech offerings. Shoppers use Four to purchase furniture, clothing, electronics, health and beauty, footwear, jewelry, and other consumer goods from retailers across the United States. Four is not expected to be a reportable segment in 2021 as its revenues, loss before income taxes, and assets are not expected to be material to the Company's consolidated financial results in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and Distribution of the Aaron's Business Segment</w:t>
      </w:r>
    </w:p>
    <w:p>
      <w:pPr>
        <w:spacing w:after="0" w:line="10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November 30, 2020, PROG Holdings (previously "Aaron's Holdings Company, Inc.") completed the separation of its Aaron's Business segment from its Progressive Leasing and Vive segments. The separation was effected through a tax-free distribution of all outstanding shares of common stock of The Aaron's Company, Inc. (referred to herein as "The Aaron's Company") to the PROG Holdings shareholders of record as of the close of business on November 27, 2020 (referred to as the "separation and distribution transaction").</w:t>
      </w:r>
    </w:p>
    <w:p>
      <w:pPr>
        <w:spacing w:after="0" w:line="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Prior to the separation and distribution transaction, the Company's operating segments were Progressive Leasing, the Aaron's Business, and Vive. All direct revenues and expenses of the Aaron's Business operations have been classified within discontinued operations, net of income tax, within our condensed consolidated statements of earnings (loss) for all periods through the separation and distribution date of November 30, 2020. Certain corporate expenses that had previously been reported as expenses of the Aaron's Business segment in 2020 did not qualify for classification within discontinued operations and are reported as unallocated corporate expenses for segment purposes within continuing operations. These unallocated corporate expenses are in addition to corporate overhead costs allocated to the Progressive Leasing and Vive segments for</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8" w:right="379" w:bottom="1440" w:gutter="0" w:footer="0" w:header="0"/>
        </w:sectPr>
      </w:pPr>
    </w:p>
    <w:bookmarkStart w:id="24" w:name="page25"/>
    <w:bookmarkEnd w:id="24"/>
    <w:p>
      <w:pPr>
        <w:ind w:right="180"/>
        <w:spacing w:after="0" w:line="277" w:lineRule="auto"/>
        <w:rPr>
          <w:sz w:val="20"/>
          <w:szCs w:val="20"/>
          <w:color w:val="auto"/>
        </w:rPr>
      </w:pPr>
      <w:r>
        <w:rPr>
          <w:rFonts w:ascii="Arial" w:cs="Arial" w:eastAsia="Arial" w:hAnsi="Arial"/>
          <w:sz w:val="18"/>
          <w:szCs w:val="18"/>
          <w:color w:val="auto"/>
        </w:rPr>
        <w:t>periods through the separation and distribution date of November 30, 2020. We have focused our discussion in this management's discussion and analysis on our continuing operations of Progressive Leasing, Vive, and unallocated corporate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9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March 11, 2020, the World Health Organization declared the outbreak of COVID-19 a pandemic. Since then, the COVID-19 pandemic has negatively impacted the global economy, disrupted global supply chains and increased unemployment levels. Although the temporary showroom and/or store closures or reduced hours and scope of operations that many of our POS partners experienced during portions of 2020 have eased, other pandemic-related factors continue to unfavorably impact many of our POS partners, including supply chain disruptions resulting in shortages of available products at certain POS partners, primarily in the appliance, electronics and furniture categories. These pandemic-related developments had an unfavorable impact on Progressive Leasing’s generation of new lease agreements, gross merchandise volume and revenues.</w:t>
      </w:r>
    </w:p>
    <w:p>
      <w:pPr>
        <w:spacing w:after="0" w:line="56"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COVID-19 pandemic may adversely impact our business, results of operations, financial condition, liquidity and/or cash flow in future periods. The extent of any such adverse impacts will depend on future developments, which are highly uncertain and cannot be predicted, including (i) the length and severity of the pandemic, including, for example, the emergence of more contagious and harmful variants of COVID-19 and localized outbreaks or additional waves of COVID-19 cases; (ii) the impact of any such outbreaks on our customers, POS partners, and employees; (iii) the nature of any government orders issued in response to such outbreaks; (iv) the effectiveness, availability and level of use of vaccines; and (v) whether there is any additional government stimulus in response to the pandemic, as well as the nature, timing and amount of such stimulus payments.</w:t>
      </w:r>
    </w:p>
    <w:p>
      <w:pPr>
        <w:spacing w:after="0" w:line="4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response to COVID-19, the U.S. government enacted certain fiscal stimulus measures in several phases to assist in counteracting the economic disruptions caused by the pandemic. On March 27, 2020, the Coronavirus Aid, Relief, and Economic Security Act (CARES Act) was signed into law. A second round of stimulus benefits was enacted and paid in December 2020. On March 11, 2021, the American Rescue Plan Act of 2021 was signed into law, providing a third round of stimulus payments to individuals and extending supplemental unemployment assistance through September 6, 2021, while exempting the first $10,200 of unemployment benefits from income tax. We believe all of those government stimulus measures provided economic support to many of our customers, resulting in an increase in payment activity and early lease buyouts, as well as lease merchandise, accounts receivable, and loan receivable write-offs trending lower during 2020 and the first half of 2021. We believe a significant portion of our Progressive Leasing and Vive customers received stimulus payments and/or federally supplemented unemployment payments during 2020 and the first half of 2021, which enabled them to continue making payments to us under their lease-to-own or credit card agreements, despite the economically challenging times resulting from the COVID-19 pandemic.</w:t>
      </w:r>
    </w:p>
    <w:p>
      <w:pPr>
        <w:spacing w:after="0" w:line="5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During the third quarter of 2021, customer payment delinquencies and uncollectible renewal payments within our Progressive Leasing segment began trending higher towards pre-pandemic delinquency rates. Customer payment delinquencies during the third quarter of 2021 within our Vive segment were unfavorable as compared to the first half of 2021 and 2020, but still more favorable than pre-pandemic delinquency rates. We cannot be certain that our customers will continue making their payments to us at these current levels. We may experience customer payment activity at levels worse than pre-pandemic trends. Additionally, if the recent increase in inflation continues in future periods, such a development may adversely impact our customers continuing to make payments to us and may have an unfavorable impact on our financial performance.</w:t>
      </w:r>
    </w:p>
    <w:p>
      <w:pPr>
        <w:spacing w:after="0" w:line="5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While customer demand and gross merchandise volume (GMV) continues to be strong, supply chain disruptions may result in shortages of available products at certain POS partners in future periods. These supply chain disruptions may have an unfavorable impact on Progressive Leasing’s generation of new lease agreements, Vive's generation of new loan originations, GMV, and revenues in future periods.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Highlights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financial highlights from the three months ended September 30, 2021:</w:t>
      </w:r>
    </w:p>
    <w:p>
      <w:pPr>
        <w:spacing w:after="0" w:line="90" w:lineRule="exact"/>
        <w:rPr>
          <w:sz w:val="20"/>
          <w:szCs w:val="20"/>
          <w:color w:val="auto"/>
        </w:rPr>
      </w:pPr>
    </w:p>
    <w:p>
      <w:pPr>
        <w:ind w:left="660" w:right="80" w:hanging="328"/>
        <w:spacing w:after="0" w:line="273" w:lineRule="auto"/>
        <w:tabs>
          <w:tab w:leader="none" w:pos="655" w:val="left"/>
        </w:tabs>
        <w:numPr>
          <w:ilvl w:val="0"/>
          <w:numId w:val="15"/>
        </w:numPr>
        <w:rPr>
          <w:rFonts w:ascii="Arial" w:cs="Arial" w:eastAsia="Arial" w:hAnsi="Arial"/>
          <w:sz w:val="17"/>
          <w:szCs w:val="17"/>
          <w:b w:val="1"/>
          <w:bCs w:val="1"/>
          <w:i w:val="1"/>
          <w:iCs w:val="1"/>
          <w:color w:val="auto"/>
        </w:rPr>
      </w:pPr>
      <w:r>
        <w:rPr>
          <w:rFonts w:ascii="Arial" w:cs="Arial" w:eastAsia="Arial" w:hAnsi="Arial"/>
          <w:sz w:val="17"/>
          <w:szCs w:val="17"/>
          <w:color w:val="auto"/>
        </w:rPr>
        <w:t>We reported revenues of $650.4 million, an increase of 6.4% compared to the third quarter of 2020. Our increase in revenues was primarily due to growth of the Company's portfolio of leased assets, driven by a rise in GMV generated from continued growth from large national POS partners and increased penetration in e-commerce. In the third quarter of 2021, GMV generated through e-commerce platforms represented 14.5% of total Progressive Leasing GMV, compared to 5.5% in the third quarter of 2020. These favorable increases in revenue were partially offset by customer payment delinquencies and uncollectible renewal payments trending higher towards pre-pandemic rates, as compared to the stronger customer payment activity and historically low delinquencies we experienced during the third quarter of 2020.</w:t>
      </w:r>
    </w:p>
    <w:p>
      <w:pPr>
        <w:spacing w:after="0" w:line="56" w:lineRule="exact"/>
        <w:rPr>
          <w:rFonts w:ascii="Arial" w:cs="Arial" w:eastAsia="Arial" w:hAnsi="Arial"/>
          <w:sz w:val="17"/>
          <w:szCs w:val="17"/>
          <w:b w:val="1"/>
          <w:bCs w:val="1"/>
          <w:i w:val="1"/>
          <w:iCs w:val="1"/>
          <w:color w:val="auto"/>
        </w:rPr>
      </w:pPr>
    </w:p>
    <w:p>
      <w:pPr>
        <w:ind w:left="660" w:right="20" w:hanging="328"/>
        <w:spacing w:after="0" w:line="296" w:lineRule="auto"/>
        <w:tabs>
          <w:tab w:leader="none" w:pos="655" w:val="left"/>
        </w:tabs>
        <w:numPr>
          <w:ilvl w:val="0"/>
          <w:numId w:val="15"/>
        </w:numPr>
        <w:rPr>
          <w:rFonts w:ascii="Arial" w:cs="Arial" w:eastAsia="Arial" w:hAnsi="Arial"/>
          <w:sz w:val="16"/>
          <w:szCs w:val="16"/>
          <w:b w:val="1"/>
          <w:bCs w:val="1"/>
          <w:i w:val="1"/>
          <w:iCs w:val="1"/>
          <w:color w:val="auto"/>
        </w:rPr>
      </w:pPr>
      <w:r>
        <w:rPr>
          <w:rFonts w:ascii="Arial" w:cs="Arial" w:eastAsia="Arial" w:hAnsi="Arial"/>
          <w:sz w:val="16"/>
          <w:szCs w:val="16"/>
          <w:color w:val="auto"/>
        </w:rPr>
        <w:t>Earnings before income taxes decreased to $77.9 million compared to $95.6 million in the same period in 2020. The decrease was primarily driven by an increase of $21.6 million in our provision for lease merchandise write-offs and an increase of $6.6 million of operating expenses compared to the same period in the prior year, partially offset by higher revenues, as discussed above. The increase in our provision for lease merchandise write-offs was the result of customer payment delinquencies in the third quarter of 2021 trending higher towards pre-pandemic rates, as compared to the strong customer payment activity and historically low lease merchandise charge-offs we experienced during the third quarter of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108"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i w:val="1"/>
          <w:iCs w:val="1"/>
          <w:color w:val="auto"/>
        </w:rPr>
        <w:t>Gross Merchandise Volume</w:t>
      </w:r>
      <w:r>
        <w:rPr>
          <w:rFonts w:ascii="Arial" w:cs="Arial" w:eastAsia="Arial" w:hAnsi="Arial"/>
          <w:sz w:val="16"/>
          <w:szCs w:val="16"/>
          <w:color w:val="auto"/>
        </w:rPr>
        <w:t>. We believe GMV is a key performance indicator of our Progressive Leasing and Vive segments, as it provides the total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new lease and loan originations written into our portfolio over a specified time period. GMV does not represent revenues earned by the Company, but rather is a leading indicator we use in forecasting revenues the Company may earn in the short-term. Progressive Leasing's GMV is defined as the retail price of merchandise acquired by Progressive Leasing, which it then leases to its customers. Vive GMV is defined as gross loan originations.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GMV for the Company for the periods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jc w:val="right"/>
              <w:ind w:right="774"/>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6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176"/>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Progressive Leasing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493,277</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448,843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rPr>
              <w:t>44,434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Vive</w:t>
            </w:r>
          </w:p>
        </w:tc>
        <w:tc>
          <w:tcPr>
            <w:tcW w:w="340" w:type="dxa"/>
            <w:vAlign w:val="bottom"/>
          </w:tcPr>
          <w:p>
            <w:pPr>
              <w:spacing w:after="0"/>
              <w:rPr>
                <w:sz w:val="19"/>
                <w:szCs w:val="19"/>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49,085</w:t>
            </w:r>
          </w:p>
        </w:tc>
        <w:tc>
          <w:tcPr>
            <w:tcW w:w="56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37,883</w:t>
            </w:r>
          </w:p>
        </w:tc>
        <w:tc>
          <w:tcPr>
            <w:tcW w:w="480" w:type="dxa"/>
            <w:vAlign w:val="bottom"/>
          </w:tcPr>
          <w:p>
            <w:pPr>
              <w:spacing w:after="0"/>
              <w:rPr>
                <w:sz w:val="19"/>
                <w:szCs w:val="19"/>
                <w:color w:val="auto"/>
              </w:rPr>
            </w:pPr>
          </w:p>
        </w:tc>
        <w:tc>
          <w:tcPr>
            <w:tcW w:w="1620" w:type="dxa"/>
            <w:vAlign w:val="bottom"/>
          </w:tcPr>
          <w:p>
            <w:pPr>
              <w:jc w:val="right"/>
              <w:ind w:right="576"/>
              <w:spacing w:after="0"/>
              <w:rPr>
                <w:sz w:val="20"/>
                <w:szCs w:val="20"/>
                <w:color w:val="auto"/>
              </w:rPr>
            </w:pPr>
            <w:r>
              <w:rPr>
                <w:rFonts w:ascii="Arial" w:cs="Arial" w:eastAsia="Arial" w:hAnsi="Arial"/>
                <w:sz w:val="18"/>
                <w:szCs w:val="18"/>
                <w:color w:val="auto"/>
              </w:rPr>
              <w:t>11,202</w:t>
            </w:r>
          </w:p>
        </w:tc>
        <w:tc>
          <w:tcPr>
            <w:tcW w:w="1080" w:type="dxa"/>
            <w:vAlign w:val="bottom"/>
          </w:tcPr>
          <w:p>
            <w:pPr>
              <w:jc w:val="right"/>
              <w:ind w:right="134"/>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2,655</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rPr>
              <w:t>2,655</w:t>
            </w:r>
          </w:p>
        </w:tc>
        <w:tc>
          <w:tcPr>
            <w:tcW w:w="10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Total GMV</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545,017</w:t>
            </w:r>
          </w:p>
        </w:tc>
        <w:tc>
          <w:tcPr>
            <w:tcW w:w="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486,726</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rPr>
              <w:t>58,291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nmf—Calculation is not meaningful</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increase in Progressive Leasing's GMV was driven by an increase in the quantity of new leases originated in the third quarter of 2021, compared to the third quarter of 2020, largely the result of continued growth from large national POS partners and increased penetration in e-commerce. E-commerce channels generated 14.5% of Progressive Leasing's GMV in the third quarter of 2021 compared to 5.5% in the third quarter of 2020. Vive's GMV growth was driven by an increase in loan originations at both new and existing POS partners. Our Progressive Leasing and Vive GMV was unfavorably impacted by showroom and/or store closures and supply chain disruptions for our POS partners in the third quarter of 2020, as a result of governmental orders and voluntary measures taken by our POS partners in response to the COVID-19 pandemic, as well as COVID outbreaks and related governmental restrictions in geographical areas from which our POS partners source merchandise, which also contributed to higher GMV in the third quarter of 2021 when compared to the third quarter of 2020, although supply chain disruptions continued to have somewhat of an unfavorable impact on GMV in the third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ind w:right="460"/>
        <w:spacing w:after="0" w:line="311" w:lineRule="auto"/>
        <w:rPr>
          <w:sz w:val="20"/>
          <w:szCs w:val="20"/>
          <w:color w:val="auto"/>
        </w:rPr>
      </w:pPr>
      <w:r>
        <w:rPr>
          <w:rFonts w:ascii="Arial" w:cs="Arial" w:eastAsia="Arial" w:hAnsi="Arial"/>
          <w:sz w:val="16"/>
          <w:szCs w:val="16"/>
          <w:i w:val="1"/>
          <w:iCs w:val="1"/>
          <w:color w:val="auto"/>
        </w:rPr>
        <w:t xml:space="preserve">Active Customer Count. </w:t>
      </w:r>
      <w:r>
        <w:rPr>
          <w:rFonts w:ascii="Arial" w:cs="Arial" w:eastAsia="Arial" w:hAnsi="Arial"/>
          <w:sz w:val="16"/>
          <w:szCs w:val="16"/>
          <w:color w:val="auto"/>
        </w:rPr>
        <w:t>Our active customer count represents the total number of customers that have an active lease agreement with our Progressive</w:t>
      </w:r>
      <w:r>
        <w:rPr>
          <w:rFonts w:ascii="Arial" w:cs="Arial" w:eastAsia="Arial" w:hAnsi="Arial"/>
          <w:sz w:val="16"/>
          <w:szCs w:val="16"/>
          <w:i w:val="1"/>
          <w:iCs w:val="1"/>
          <w:color w:val="auto"/>
        </w:rPr>
        <w:t xml:space="preserve"> </w:t>
      </w:r>
      <w:r>
        <w:rPr>
          <w:rFonts w:ascii="Arial" w:cs="Arial" w:eastAsia="Arial" w:hAnsi="Arial"/>
          <w:sz w:val="16"/>
          <w:szCs w:val="16"/>
          <w:color w:val="auto"/>
        </w:rPr>
        <w:t>Leasing segment or an active loan with our Vive segment. The following table presents our consolidated active customer count, which includes an immaterial number of customers that have both an active lease agreement and loan agreement, for the Company for the periods presented:</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 September 30 (Unaudited)</w:t>
            </w:r>
          </w:p>
        </w:tc>
        <w:tc>
          <w:tcPr>
            <w:tcW w:w="2000" w:type="dxa"/>
            <w:vAlign w:val="bottom"/>
            <w:tcBorders>
              <w:bottom w:val="single" w:sz="8" w:color="auto"/>
            </w:tcBorders>
          </w:tcPr>
          <w:p>
            <w:pPr>
              <w:jc w:val="right"/>
              <w:ind w:right="954"/>
              <w:spacing w:after="0"/>
              <w:rPr>
                <w:sz w:val="20"/>
                <w:szCs w:val="20"/>
                <w:color w:val="auto"/>
              </w:rPr>
            </w:pPr>
            <w:r>
              <w:rPr>
                <w:rFonts w:ascii="Arial" w:cs="Arial" w:eastAsia="Arial" w:hAnsi="Arial"/>
                <w:sz w:val="14"/>
                <w:szCs w:val="14"/>
                <w:b w:val="1"/>
                <w:bCs w:val="1"/>
                <w:color w:val="auto"/>
              </w:rPr>
              <w:t>2021</w:t>
            </w:r>
          </w:p>
        </w:tc>
        <w:tc>
          <w:tcPr>
            <w:tcW w:w="14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Active Customer Count:</w:t>
            </w:r>
          </w:p>
        </w:tc>
        <w:tc>
          <w:tcPr>
            <w:tcW w:w="20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Progressive Leasing</w:t>
            </w:r>
          </w:p>
        </w:tc>
        <w:tc>
          <w:tcPr>
            <w:tcW w:w="2000" w:type="dxa"/>
            <w:vAlign w:val="bottom"/>
          </w:tcPr>
          <w:p>
            <w:pPr>
              <w:jc w:val="right"/>
              <w:ind w:right="334"/>
              <w:spacing w:after="0"/>
              <w:rPr>
                <w:sz w:val="20"/>
                <w:szCs w:val="20"/>
                <w:color w:val="auto"/>
              </w:rPr>
            </w:pPr>
            <w:r>
              <w:rPr>
                <w:rFonts w:ascii="Arial" w:cs="Arial" w:eastAsia="Arial" w:hAnsi="Arial"/>
                <w:sz w:val="18"/>
                <w:szCs w:val="18"/>
                <w:color w:val="auto"/>
              </w:rPr>
              <w:t>936,000</w:t>
            </w:r>
          </w:p>
        </w:tc>
        <w:tc>
          <w:tcPr>
            <w:tcW w:w="1400" w:type="dxa"/>
            <w:vAlign w:val="bottom"/>
          </w:tcPr>
          <w:p>
            <w:pPr>
              <w:jc w:val="right"/>
              <w:spacing w:after="0"/>
              <w:rPr>
                <w:sz w:val="20"/>
                <w:szCs w:val="20"/>
                <w:color w:val="auto"/>
              </w:rPr>
            </w:pPr>
            <w:r>
              <w:rPr>
                <w:rFonts w:ascii="Arial" w:cs="Arial" w:eastAsia="Arial" w:hAnsi="Arial"/>
                <w:sz w:val="18"/>
                <w:szCs w:val="18"/>
                <w:color w:val="auto"/>
              </w:rPr>
              <w:t>892,000</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Vive</w:t>
            </w:r>
          </w:p>
        </w:tc>
        <w:tc>
          <w:tcPr>
            <w:tcW w:w="200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87,000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r>
      <w:tr>
        <w:trPr>
          <w:trHeight w:val="229"/>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00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8,000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Active Customer Count</w:t>
            </w:r>
          </w:p>
        </w:tc>
        <w:tc>
          <w:tcPr>
            <w:tcW w:w="20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1,031,000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948,000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increase in the number of Progressive Leasing and Vive customers was due to continued growth in new lease and loan originations, respectively, at both new and existing POS partners.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Earnings Before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In this management’s discussion and analysis section, we review our condensed consolidated results. For the three and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2021 and the comparable prior year period, some of the key revenue, cost and expense items that affected earnings before income taxes were as follows:</w:t>
      </w:r>
    </w:p>
    <w:p>
      <w:pPr>
        <w:spacing w:after="0" w:line="11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We separate our total revenues into two components: (i) lease revenues and fees and (ii) interest and fees on loans receivable. Lease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and fees include all revenues derived from lease agreements from our Progressive Leasing segment. Lease revenues are recorded net of a provision for uncollectible renewal payments. Interest and fees on loans receivable represents merchant fees, finance charges and annual and other fees earned on outstanding loans in our Vive segment and, to a lesser extent, from Four.</w:t>
      </w:r>
    </w:p>
    <w:p>
      <w:pPr>
        <w:spacing w:after="0" w:line="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Depreciation of Lease Merchandise</w:t>
      </w:r>
      <w:r>
        <w:rPr>
          <w:rFonts w:ascii="Arial" w:cs="Arial" w:eastAsia="Arial" w:hAnsi="Arial"/>
          <w:sz w:val="18"/>
          <w:szCs w:val="18"/>
          <w:color w:val="auto"/>
        </w:rPr>
        <w:t>. Depreciation of lease merchandise primarily reflects the expense associated with depreciating merchandise leased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by Progressive Leasing.</w:t>
      </w:r>
    </w:p>
    <w:p>
      <w:pPr>
        <w:spacing w:after="0" w:line="3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i w:val="1"/>
          <w:iCs w:val="1"/>
          <w:color w:val="auto"/>
        </w:rPr>
        <w:t xml:space="preserve">Provision for Lease Merchandise Write-offs. </w:t>
      </w:r>
      <w:r>
        <w:rPr>
          <w:rFonts w:ascii="Arial" w:cs="Arial" w:eastAsia="Arial" w:hAnsi="Arial"/>
          <w:sz w:val="17"/>
          <w:szCs w:val="17"/>
          <w:color w:val="auto"/>
        </w:rPr>
        <w:t>The provision for lease merchandise write-offs represents the estimated merchandise losses incurred but not</w:t>
      </w:r>
      <w:r>
        <w:rPr>
          <w:rFonts w:ascii="Arial" w:cs="Arial" w:eastAsia="Arial" w:hAnsi="Arial"/>
          <w:sz w:val="17"/>
          <w:szCs w:val="17"/>
          <w:i w:val="1"/>
          <w:iCs w:val="1"/>
          <w:color w:val="auto"/>
        </w:rPr>
        <w:t xml:space="preserve"> </w:t>
      </w:r>
      <w:r>
        <w:rPr>
          <w:rFonts w:ascii="Arial" w:cs="Arial" w:eastAsia="Arial" w:hAnsi="Arial"/>
          <w:sz w:val="17"/>
          <w:szCs w:val="17"/>
          <w:color w:val="auto"/>
        </w:rPr>
        <w:t>yet identified by management and adjustments for changes in estimates for the allowance for lease merchandise write-offs.</w:t>
      </w:r>
    </w:p>
    <w:p>
      <w:pPr>
        <w:spacing w:after="0" w:line="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Operating expenses include personnel costs, stock-based compensation expense, occupancy costs, advertising, professional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sales acquisition expense, computer software expense, the provision for loan losses, intangible asset amortization and depreciation expense, among other expenses.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Separation Related Charges. </w:t>
      </w:r>
      <w:r>
        <w:rPr>
          <w:rFonts w:ascii="Arial" w:cs="Arial" w:eastAsia="Arial" w:hAnsi="Arial"/>
          <w:sz w:val="18"/>
          <w:szCs w:val="18"/>
          <w:color w:val="auto"/>
        </w:rPr>
        <w:t>Separation related charges include stock-based compensation expense and retirement charges associated with the separation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Aaron's Business segment.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consists of interest incurred on the Company's senior unsecured revolving credit facility (the "Revolving Facility").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 – Three months ended September 30, 2021 and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jc w:val="right"/>
              <w:ind w:right="771"/>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172"/>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360"/>
              <w:spacing w:after="0"/>
              <w:rPr>
                <w:sz w:val="20"/>
                <w:szCs w:val="20"/>
                <w:color w:val="auto"/>
              </w:rPr>
            </w:pPr>
            <w:r>
              <w:rPr>
                <w:rFonts w:ascii="Arial" w:cs="Arial" w:eastAsia="Arial" w:hAnsi="Arial"/>
                <w:sz w:val="18"/>
                <w:szCs w:val="18"/>
                <w:color w:val="auto"/>
              </w:rPr>
              <w:t>Lease Revenues and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635,025</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601,105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33,920</w:t>
            </w:r>
          </w:p>
        </w:tc>
        <w:tc>
          <w:tcPr>
            <w:tcW w:w="108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Fees on Loans Receivable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15,380</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10,232</w:t>
            </w: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rPr>
              <w:t>5,148</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650,405</w:t>
            </w:r>
          </w:p>
        </w:tc>
        <w:tc>
          <w:tcPr>
            <w:tcW w:w="54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611,337</w:t>
            </w:r>
          </w:p>
        </w:tc>
        <w:tc>
          <w:tcPr>
            <w:tcW w:w="480" w:type="dxa"/>
            <w:vAlign w:val="bottom"/>
          </w:tcPr>
          <w:p>
            <w:pPr>
              <w:spacing w:after="0"/>
              <w:rPr>
                <w:sz w:val="19"/>
                <w:szCs w:val="19"/>
                <w:color w:val="auto"/>
              </w:rPr>
            </w:pP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39,068</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360"/>
              <w:spacing w:after="0"/>
              <w:rPr>
                <w:sz w:val="20"/>
                <w:szCs w:val="20"/>
                <w:color w:val="auto"/>
              </w:rPr>
            </w:pPr>
            <w:r>
              <w:rPr>
                <w:rFonts w:ascii="Arial" w:cs="Arial" w:eastAsia="Arial" w:hAnsi="Arial"/>
                <w:sz w:val="18"/>
                <w:szCs w:val="18"/>
                <w:color w:val="auto"/>
              </w:rPr>
              <w:t>Depreciation of Lease Merchandise</w:t>
            </w: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435,857</w:t>
            </w:r>
          </w:p>
        </w:tc>
        <w:tc>
          <w:tcPr>
            <w:tcW w:w="54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405,235</w:t>
            </w:r>
          </w:p>
        </w:tc>
        <w:tc>
          <w:tcPr>
            <w:tcW w:w="480" w:type="dxa"/>
            <w:vAlign w:val="bottom"/>
          </w:tcPr>
          <w:p>
            <w:pPr>
              <w:spacing w:after="0"/>
              <w:rPr>
                <w:sz w:val="19"/>
                <w:szCs w:val="19"/>
                <w:color w:val="auto"/>
              </w:rPr>
            </w:pP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30,622</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Lease Merchandise Write-Offs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34,174</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12,578</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21,596</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29"/>
        </w:trPr>
        <w:tc>
          <w:tcPr>
            <w:tcW w:w="5120" w:type="dxa"/>
            <w:vAlign w:val="bottom"/>
          </w:tcPr>
          <w:p>
            <w:pPr>
              <w:ind w:left="36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102,053</w:t>
            </w:r>
          </w:p>
        </w:tc>
        <w:tc>
          <w:tcPr>
            <w:tcW w:w="54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95,433</w:t>
            </w:r>
          </w:p>
        </w:tc>
        <w:tc>
          <w:tcPr>
            <w:tcW w:w="480" w:type="dxa"/>
            <w:vAlign w:val="bottom"/>
          </w:tcPr>
          <w:p>
            <w:pPr>
              <w:spacing w:after="0"/>
              <w:rPr>
                <w:sz w:val="19"/>
                <w:szCs w:val="19"/>
                <w:color w:val="auto"/>
              </w:rPr>
            </w:pP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6,620</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Separation Related Charges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2,443</w:t>
            </w: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(2,443)</w:t>
            </w:r>
          </w:p>
        </w:tc>
        <w:tc>
          <w:tcPr>
            <w:tcW w:w="10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572,084</w:t>
            </w:r>
          </w:p>
        </w:tc>
        <w:tc>
          <w:tcPr>
            <w:tcW w:w="54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515,689</w:t>
            </w:r>
          </w:p>
        </w:tc>
        <w:tc>
          <w:tcPr>
            <w:tcW w:w="480" w:type="dxa"/>
            <w:vAlign w:val="bottom"/>
          </w:tcPr>
          <w:p>
            <w:pPr>
              <w:spacing w:after="0"/>
              <w:rPr>
                <w:sz w:val="19"/>
                <w:szCs w:val="19"/>
                <w:color w:val="auto"/>
              </w:rPr>
            </w:pP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56,395</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78,321</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95,648</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(17,327)</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(444)</w:t>
            </w: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155"/>
        </w:trPr>
        <w:tc>
          <w:tcPr>
            <w:tcW w:w="51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EARNINGS FROM CONTINUING OPERATIONS BEFORE</w:t>
            </w: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77,877</w:t>
            </w:r>
          </w:p>
        </w:tc>
        <w:tc>
          <w:tcPr>
            <w:tcW w:w="5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95,648</w:t>
            </w:r>
          </w:p>
        </w:tc>
        <w:tc>
          <w:tcPr>
            <w:tcW w:w="48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512"/>
              <w:spacing w:after="0"/>
              <w:rPr>
                <w:sz w:val="20"/>
                <w:szCs w:val="20"/>
                <w:color w:val="auto"/>
              </w:rPr>
            </w:pPr>
            <w:r>
              <w:rPr>
                <w:rFonts w:ascii="Arial" w:cs="Arial" w:eastAsia="Arial" w:hAnsi="Arial"/>
                <w:sz w:val="18"/>
                <w:szCs w:val="18"/>
                <w:color w:val="auto"/>
              </w:rPr>
              <w:t>(17,771)</w:t>
            </w:r>
          </w:p>
        </w:tc>
        <w:tc>
          <w:tcPr>
            <w:tcW w:w="108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TAXES</w:t>
            </w:r>
          </w:p>
        </w:tc>
        <w:tc>
          <w:tcPr>
            <w:tcW w:w="3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20,464</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21,005</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(541)</w:t>
            </w: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FROM CONTINUING OPERATIONS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57,413</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74,643</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(17,230)</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175"/>
        </w:trPr>
        <w:tc>
          <w:tcPr>
            <w:tcW w:w="51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EARNINGS FROM DISCONTINUED OPERATIONS, NET OF</w:t>
            </w:r>
          </w:p>
        </w:tc>
        <w:tc>
          <w:tcPr>
            <w:tcW w:w="340" w:type="dxa"/>
            <w:vAlign w:val="bottom"/>
          </w:tcPr>
          <w:p>
            <w:pPr>
              <w:spacing w:after="0"/>
              <w:rPr>
                <w:sz w:val="15"/>
                <w:szCs w:val="15"/>
                <w:color w:val="auto"/>
              </w:rPr>
            </w:pPr>
          </w:p>
        </w:tc>
        <w:tc>
          <w:tcPr>
            <w:tcW w:w="112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5"/>
                <w:szCs w:val="15"/>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34,702</w:t>
            </w:r>
          </w:p>
        </w:tc>
        <w:tc>
          <w:tcPr>
            <w:tcW w:w="480" w:type="dxa"/>
            <w:vAlign w:val="bottom"/>
          </w:tcPr>
          <w:p>
            <w:pPr>
              <w:spacing w:after="0"/>
              <w:rPr>
                <w:sz w:val="15"/>
                <w:szCs w:val="15"/>
                <w:color w:val="auto"/>
              </w:rPr>
            </w:pPr>
          </w:p>
        </w:tc>
        <w:tc>
          <w:tcPr>
            <w:tcW w:w="1600" w:type="dxa"/>
            <w:vAlign w:val="bottom"/>
            <w:vMerge w:val="restart"/>
          </w:tcPr>
          <w:p>
            <w:pPr>
              <w:jc w:val="right"/>
              <w:ind w:right="512"/>
              <w:spacing w:after="0"/>
              <w:rPr>
                <w:sz w:val="20"/>
                <w:szCs w:val="20"/>
                <w:color w:val="auto"/>
              </w:rPr>
            </w:pPr>
            <w:r>
              <w:rPr>
                <w:rFonts w:ascii="Arial" w:cs="Arial" w:eastAsia="Arial" w:hAnsi="Arial"/>
                <w:sz w:val="18"/>
                <w:szCs w:val="18"/>
                <w:color w:val="auto"/>
              </w:rPr>
              <w:t>(34,702)</w:t>
            </w:r>
          </w:p>
        </w:tc>
        <w:tc>
          <w:tcPr>
            <w:tcW w:w="1080" w:type="dxa"/>
            <w:vAlign w:val="bottom"/>
            <w:vMerge w:val="restart"/>
          </w:tcPr>
          <w:p>
            <w:pPr>
              <w:jc w:val="right"/>
              <w:ind w:right="151"/>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57,413</w:t>
            </w:r>
          </w:p>
        </w:tc>
        <w:tc>
          <w:tcPr>
            <w:tcW w:w="5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109,345</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(51,932)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nmf—Calculation is not meaningful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revenues by source and reportable segment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 2021</w:t>
            </w: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w w:val="95"/>
              </w:rPr>
              <w:t>Three Months Ended September 30, 2020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880" w:type="dxa"/>
            <w:vAlign w:val="bottom"/>
          </w:tcPr>
          <w:p>
            <w:pPr>
              <w:jc w:val="right"/>
              <w:ind w:right="59"/>
              <w:spacing w:after="0" w:line="135" w:lineRule="exact"/>
              <w:rPr>
                <w:sz w:val="20"/>
                <w:szCs w:val="20"/>
                <w:color w:val="auto"/>
              </w:rPr>
            </w:pPr>
            <w:r>
              <w:rPr>
                <w:rFonts w:ascii="Arial" w:cs="Arial" w:eastAsia="Arial" w:hAnsi="Arial"/>
                <w:sz w:val="14"/>
                <w:szCs w:val="14"/>
                <w:b w:val="1"/>
                <w:bCs w:val="1"/>
                <w:color w:val="auto"/>
                <w:w w:val="89"/>
              </w:rPr>
              <w:t>Progressive</w:t>
            </w:r>
          </w:p>
        </w:tc>
        <w:tc>
          <w:tcPr>
            <w:tcW w:w="280" w:type="dxa"/>
            <w:vAlign w:val="bottom"/>
          </w:tcPr>
          <w:p>
            <w:pPr>
              <w:spacing w:after="0"/>
              <w:rPr>
                <w:sz w:val="11"/>
                <w:szCs w:val="11"/>
                <w:color w:val="auto"/>
              </w:rPr>
            </w:pPr>
          </w:p>
        </w:tc>
        <w:tc>
          <w:tcPr>
            <w:tcW w:w="102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Vive</w:t>
            </w:r>
          </w:p>
        </w:tc>
        <w:tc>
          <w:tcPr>
            <w:tcW w:w="112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Other</w:t>
            </w:r>
          </w:p>
        </w:tc>
        <w:tc>
          <w:tcPr>
            <w:tcW w:w="7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900" w:type="dxa"/>
            <w:vAlign w:val="bottom"/>
          </w:tcPr>
          <w:p>
            <w:pPr>
              <w:jc w:val="right"/>
              <w:ind w:right="79"/>
              <w:spacing w:after="0" w:line="135" w:lineRule="exact"/>
              <w:rPr>
                <w:sz w:val="20"/>
                <w:szCs w:val="20"/>
                <w:color w:val="auto"/>
              </w:rPr>
            </w:pPr>
            <w:r>
              <w:rPr>
                <w:rFonts w:ascii="Arial" w:cs="Arial" w:eastAsia="Arial" w:hAnsi="Arial"/>
                <w:sz w:val="14"/>
                <w:szCs w:val="14"/>
                <w:b w:val="1"/>
                <w:bCs w:val="1"/>
                <w:color w:val="auto"/>
                <w:w w:val="89"/>
              </w:rPr>
              <w:t>Progressive</w:t>
            </w:r>
          </w:p>
        </w:tc>
        <w:tc>
          <w:tcPr>
            <w:tcW w:w="260" w:type="dxa"/>
            <w:vAlign w:val="bottom"/>
          </w:tcPr>
          <w:p>
            <w:pPr>
              <w:spacing w:after="0"/>
              <w:rPr>
                <w:sz w:val="11"/>
                <w:szCs w:val="11"/>
                <w:color w:val="auto"/>
              </w:rPr>
            </w:pPr>
          </w:p>
        </w:tc>
        <w:tc>
          <w:tcPr>
            <w:tcW w:w="104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Vive</w:t>
            </w:r>
          </w:p>
        </w:tc>
        <w:tc>
          <w:tcPr>
            <w:tcW w:w="11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7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Leasing</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Revenues and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635,025</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601,105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601,105</w:t>
            </w:r>
          </w:p>
        </w:tc>
        <w:tc>
          <w:tcPr>
            <w:tcW w:w="0" w:type="dxa"/>
            <w:vAlign w:val="bottom"/>
          </w:tcPr>
          <w:p>
            <w:pPr>
              <w:spacing w:after="0"/>
              <w:rPr>
                <w:sz w:val="1"/>
                <w:szCs w:val="1"/>
                <w:color w:val="auto"/>
              </w:rPr>
            </w:pPr>
          </w:p>
        </w:tc>
      </w:tr>
      <w:tr>
        <w:trPr>
          <w:trHeight w:val="176"/>
        </w:trPr>
        <w:tc>
          <w:tcPr>
            <w:tcW w:w="2820" w:type="dxa"/>
            <w:vAlign w:val="bottom"/>
          </w:tcPr>
          <w:p>
            <w:pPr>
              <w:ind w:left="20"/>
              <w:spacing w:after="0" w:line="176" w:lineRule="exact"/>
              <w:rPr>
                <w:sz w:val="20"/>
                <w:szCs w:val="20"/>
                <w:color w:val="auto"/>
              </w:rPr>
            </w:pPr>
            <w:r>
              <w:rPr>
                <w:rFonts w:ascii="Arial" w:cs="Arial" w:eastAsia="Arial" w:hAnsi="Arial"/>
                <w:sz w:val="18"/>
                <w:szCs w:val="18"/>
                <w:color w:val="auto"/>
              </w:rPr>
              <w:t>Interest and Fees on Loans</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20" w:type="dxa"/>
            <w:vAlign w:val="bottom"/>
            <w:vMerge w:val="restart"/>
          </w:tcPr>
          <w:p>
            <w:pPr>
              <w:jc w:val="right"/>
              <w:ind w:right="195"/>
              <w:spacing w:after="0"/>
              <w:rPr>
                <w:sz w:val="20"/>
                <w:szCs w:val="20"/>
                <w:color w:val="auto"/>
              </w:rPr>
            </w:pPr>
            <w:r>
              <w:rPr>
                <w:rFonts w:ascii="Arial" w:cs="Arial" w:eastAsia="Arial" w:hAnsi="Arial"/>
                <w:sz w:val="18"/>
                <w:szCs w:val="18"/>
                <w:color w:val="auto"/>
              </w:rPr>
              <w:t>15,212</w:t>
            </w:r>
          </w:p>
        </w:tc>
        <w:tc>
          <w:tcPr>
            <w:tcW w:w="1120" w:type="dxa"/>
            <w:vAlign w:val="bottom"/>
            <w:vMerge w:val="restart"/>
          </w:tcPr>
          <w:p>
            <w:pPr>
              <w:jc w:val="right"/>
              <w:ind w:right="275"/>
              <w:spacing w:after="0"/>
              <w:rPr>
                <w:sz w:val="20"/>
                <w:szCs w:val="20"/>
                <w:color w:val="auto"/>
              </w:rPr>
            </w:pPr>
            <w:r>
              <w:rPr>
                <w:rFonts w:ascii="Arial" w:cs="Arial" w:eastAsia="Arial" w:hAnsi="Arial"/>
                <w:sz w:val="18"/>
                <w:szCs w:val="18"/>
                <w:color w:val="auto"/>
              </w:rPr>
              <w:t>168</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15,380</w:t>
            </w: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40" w:type="dxa"/>
            <w:vAlign w:val="bottom"/>
            <w:vMerge w:val="restart"/>
          </w:tcPr>
          <w:p>
            <w:pPr>
              <w:jc w:val="right"/>
              <w:ind w:right="215"/>
              <w:spacing w:after="0"/>
              <w:rPr>
                <w:sz w:val="20"/>
                <w:szCs w:val="20"/>
                <w:color w:val="auto"/>
              </w:rPr>
            </w:pPr>
            <w:r>
              <w:rPr>
                <w:rFonts w:ascii="Arial" w:cs="Arial" w:eastAsia="Arial" w:hAnsi="Arial"/>
                <w:sz w:val="18"/>
                <w:szCs w:val="18"/>
                <w:color w:val="auto"/>
              </w:rPr>
              <w:t>10,232</w:t>
            </w:r>
          </w:p>
        </w:tc>
        <w:tc>
          <w:tcPr>
            <w:tcW w:w="1120" w:type="dxa"/>
            <w:vAlign w:val="bottom"/>
            <w:vMerge w:val="restart"/>
          </w:tcPr>
          <w:p>
            <w:pPr>
              <w:ind w:left="58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10,232</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Receivable</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635,025</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15,212 $</w:t>
            </w:r>
          </w:p>
        </w:tc>
        <w:tc>
          <w:tcPr>
            <w:tcW w:w="11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168 $</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650,405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601,105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10,232 $</w:t>
            </w:r>
          </w:p>
        </w:tc>
        <w:tc>
          <w:tcPr>
            <w:tcW w:w="11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611,337</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increase in Progressive Leasing revenues was due to a 9.9% increase in GMV driven by continued growth from large national POS partners and e-commerce platforms. GMV generated through e-commerce platforms represented 14.5% of total Progressive Leasing GMV in the third quarter of 2021, compared to 5.5% in the third quarter of 2020. The favorable increase in revenue was partially offset by customer payment delinquencies and uncollectible renewal payments trending higher toward pre-pandemic rates as compared to the strong customer payment activity and historically low delinquencies we experienced during the third quarter of 2020. The increase in Vive revenues was due to a 29.6% increase in GMV in the third quarter of 2021, compared to the third quarter of 2020, resulting in growth in our loans receivable portfolio and additional interest and fee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certain significant components of operating expenses for the third quarter of 2021 as compared to the third quarter of 2020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3"/>
          </w:tcPr>
          <w:p>
            <w:pPr>
              <w:jc w:val="right"/>
              <w:ind w:right="771"/>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6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153"/>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Personnel Costs</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47,302</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44,878</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2,424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6,667</w:t>
            </w:r>
          </w:p>
        </w:tc>
        <w:tc>
          <w:tcPr>
            <w:tcW w:w="56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5,417</w:t>
            </w:r>
          </w:p>
        </w:tc>
        <w:tc>
          <w:tcPr>
            <w:tcW w:w="460" w:type="dxa"/>
            <w:vAlign w:val="bottom"/>
          </w:tcPr>
          <w:p>
            <w:pPr>
              <w:spacing w:after="0"/>
              <w:rPr>
                <w:sz w:val="19"/>
                <w:szCs w:val="19"/>
                <w:color w:val="auto"/>
              </w:rPr>
            </w:pPr>
          </w:p>
        </w:tc>
        <w:tc>
          <w:tcPr>
            <w:tcW w:w="1600" w:type="dxa"/>
            <w:vAlign w:val="bottom"/>
          </w:tcPr>
          <w:p>
            <w:pPr>
              <w:jc w:val="right"/>
              <w:ind w:right="573"/>
              <w:spacing w:after="0"/>
              <w:rPr>
                <w:sz w:val="20"/>
                <w:szCs w:val="20"/>
                <w:color w:val="auto"/>
              </w:rPr>
            </w:pPr>
            <w:r>
              <w:rPr>
                <w:rFonts w:ascii="Arial" w:cs="Arial" w:eastAsia="Arial" w:hAnsi="Arial"/>
                <w:sz w:val="18"/>
                <w:szCs w:val="18"/>
                <w:color w:val="auto"/>
              </w:rPr>
              <w:t>1,250</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1,685</w:t>
            </w: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3</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4,291</w:t>
            </w:r>
          </w:p>
        </w:tc>
        <w:tc>
          <w:tcPr>
            <w:tcW w:w="56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1,511</w:t>
            </w:r>
          </w:p>
        </w:tc>
        <w:tc>
          <w:tcPr>
            <w:tcW w:w="460" w:type="dxa"/>
            <w:vAlign w:val="bottom"/>
          </w:tcPr>
          <w:p>
            <w:pPr>
              <w:spacing w:after="0"/>
              <w:rPr>
                <w:sz w:val="19"/>
                <w:szCs w:val="19"/>
                <w:color w:val="auto"/>
              </w:rPr>
            </w:pPr>
          </w:p>
        </w:tc>
        <w:tc>
          <w:tcPr>
            <w:tcW w:w="1600" w:type="dxa"/>
            <w:vAlign w:val="bottom"/>
          </w:tcPr>
          <w:p>
            <w:pPr>
              <w:jc w:val="right"/>
              <w:ind w:right="573"/>
              <w:spacing w:after="0"/>
              <w:rPr>
                <w:sz w:val="20"/>
                <w:szCs w:val="20"/>
                <w:color w:val="auto"/>
              </w:rPr>
            </w:pPr>
            <w:r>
              <w:rPr>
                <w:rFonts w:ascii="Arial" w:cs="Arial" w:eastAsia="Arial" w:hAnsi="Arial"/>
                <w:sz w:val="18"/>
                <w:szCs w:val="18"/>
                <w:color w:val="auto"/>
              </w:rPr>
              <w:t>2,780</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5,682</w:t>
            </w: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778</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line="230" w:lineRule="exact"/>
              <w:rPr>
                <w:sz w:val="20"/>
                <w:szCs w:val="20"/>
                <w:color w:val="auto"/>
              </w:rPr>
            </w:pPr>
            <w:r>
              <w:rPr>
                <w:rFonts w:ascii="Arial" w:cs="Arial" w:eastAsia="Arial" w:hAnsi="Arial"/>
                <w:sz w:val="18"/>
                <w:szCs w:val="18"/>
                <w:color w:val="auto"/>
              </w:rPr>
              <w:t>Sales Acquisition Expense</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5,616</w:t>
            </w:r>
          </w:p>
        </w:tc>
        <w:tc>
          <w:tcPr>
            <w:tcW w:w="56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4,233</w:t>
            </w:r>
          </w:p>
        </w:tc>
        <w:tc>
          <w:tcPr>
            <w:tcW w:w="460" w:type="dxa"/>
            <w:vAlign w:val="bottom"/>
          </w:tcPr>
          <w:p>
            <w:pPr>
              <w:spacing w:after="0"/>
              <w:rPr>
                <w:sz w:val="19"/>
                <w:szCs w:val="19"/>
                <w:color w:val="auto"/>
              </w:rPr>
            </w:pPr>
          </w:p>
        </w:tc>
        <w:tc>
          <w:tcPr>
            <w:tcW w:w="1600" w:type="dxa"/>
            <w:vAlign w:val="bottom"/>
          </w:tcPr>
          <w:p>
            <w:pPr>
              <w:jc w:val="right"/>
              <w:ind w:right="573"/>
              <w:spacing w:after="0"/>
              <w:rPr>
                <w:sz w:val="20"/>
                <w:szCs w:val="20"/>
                <w:color w:val="auto"/>
              </w:rPr>
            </w:pPr>
            <w:r>
              <w:rPr>
                <w:rFonts w:ascii="Arial" w:cs="Arial" w:eastAsia="Arial" w:hAnsi="Arial"/>
                <w:sz w:val="18"/>
                <w:szCs w:val="18"/>
                <w:color w:val="auto"/>
              </w:rPr>
              <w:t>1,383</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Computer Software Expense</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3,147</w:t>
            </w: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2,536</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Sales, General and Administrative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11,875</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13,300</w:t>
            </w:r>
          </w:p>
        </w:tc>
        <w:tc>
          <w:tcPr>
            <w:tcW w:w="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rPr>
              <w:t>(1,425)</w:t>
            </w: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180"/>
              <w:spacing w:after="0" w:line="223" w:lineRule="exact"/>
              <w:rPr>
                <w:sz w:val="20"/>
                <w:szCs w:val="20"/>
                <w:color w:val="auto"/>
              </w:rPr>
            </w:pPr>
            <w:r>
              <w:rPr>
                <w:rFonts w:ascii="Arial" w:cs="Arial" w:eastAsia="Arial" w:hAnsi="Arial"/>
                <w:sz w:val="18"/>
                <w:szCs w:val="18"/>
                <w:b w:val="1"/>
                <w:bCs w:val="1"/>
                <w:color w:val="auto"/>
              </w:rPr>
              <w:t>Sales, General and Administrative Expense</w:t>
            </w:r>
            <w:r>
              <w:rPr>
                <w:rFonts w:ascii="Arial" w:cs="Arial" w:eastAsia="Arial" w:hAnsi="Arial"/>
                <w:sz w:val="23"/>
                <w:szCs w:val="23"/>
                <w:color w:val="auto"/>
                <w:vertAlign w:val="superscript"/>
              </w:rPr>
              <w:t>4</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89,582</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79,853</w:t>
            </w:r>
          </w:p>
        </w:tc>
        <w:tc>
          <w:tcPr>
            <w:tcW w:w="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9,729</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Provision for Loan Losses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3,868</w:t>
            </w:r>
          </w:p>
        </w:tc>
        <w:tc>
          <w:tcPr>
            <w:tcW w:w="56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7,611</w:t>
            </w:r>
          </w:p>
        </w:tc>
        <w:tc>
          <w:tcPr>
            <w:tcW w:w="460" w:type="dxa"/>
            <w:vAlign w:val="bottom"/>
          </w:tcPr>
          <w:p>
            <w:pPr>
              <w:spacing w:after="0"/>
              <w:rPr>
                <w:sz w:val="19"/>
                <w:szCs w:val="19"/>
                <w:color w:val="auto"/>
              </w:rPr>
            </w:pPr>
          </w:p>
        </w:tc>
        <w:tc>
          <w:tcPr>
            <w:tcW w:w="1600" w:type="dxa"/>
            <w:vAlign w:val="bottom"/>
          </w:tcPr>
          <w:p>
            <w:pPr>
              <w:jc w:val="right"/>
              <w:ind w:right="513"/>
              <w:spacing w:after="0"/>
              <w:rPr>
                <w:sz w:val="20"/>
                <w:szCs w:val="20"/>
                <w:color w:val="auto"/>
              </w:rPr>
            </w:pPr>
            <w:r>
              <w:rPr>
                <w:rFonts w:ascii="Arial" w:cs="Arial" w:eastAsia="Arial" w:hAnsi="Arial"/>
                <w:sz w:val="18"/>
                <w:szCs w:val="18"/>
                <w:color w:val="auto"/>
              </w:rPr>
              <w:t>(3,743)</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7,969</w:t>
            </w:r>
          </w:p>
        </w:tc>
        <w:tc>
          <w:tcPr>
            <w:tcW w:w="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634</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102,053</w:t>
            </w:r>
          </w:p>
        </w:tc>
        <w:tc>
          <w:tcPr>
            <w:tcW w:w="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95,433</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rPr>
              <w:t>6,620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00" w:hanging="92"/>
        <w:spacing w:after="0"/>
        <w:tabs>
          <w:tab w:leader="none" w:pos="10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Personnel costs excludes stock-based compensation expense, which is reported separately in the operating expense table.</w:t>
      </w:r>
    </w:p>
    <w:p>
      <w:pPr>
        <w:ind w:right="420" w:firstLine="8"/>
        <w:spacing w:after="0" w:line="249" w:lineRule="auto"/>
        <w:tabs>
          <w:tab w:leader="none" w:pos="88"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Sales acquisition expense includes vendor incentives and rebates to POS partners, external sales commissions, amortization of initial direct costs and amounts paid to various POS partners to be their exclusive provider of lease-to-own solutions.</w:t>
      </w:r>
    </w:p>
    <w:p>
      <w:pPr>
        <w:spacing w:after="0" w:line="206" w:lineRule="auto"/>
        <w:rPr>
          <w:rFonts w:ascii="Arial" w:cs="Arial" w:eastAsia="Arial" w:hAnsi="Arial"/>
          <w:sz w:val="21"/>
          <w:szCs w:val="21"/>
          <w:color w:val="auto"/>
          <w:vertAlign w:val="superscript"/>
        </w:rPr>
      </w:pPr>
      <w:r>
        <w:rPr>
          <w:rFonts w:ascii="Arial" w:cs="Arial" w:eastAsia="Arial" w:hAnsi="Arial"/>
          <w:sz w:val="22"/>
          <w:szCs w:val="22"/>
          <w:color w:val="auto"/>
          <w:vertAlign w:val="superscript"/>
        </w:rPr>
        <w:t>3</w:t>
      </w:r>
      <w:r>
        <w:rPr>
          <w:rFonts w:ascii="Arial" w:cs="Arial" w:eastAsia="Arial" w:hAnsi="Arial"/>
          <w:sz w:val="17"/>
          <w:szCs w:val="17"/>
          <w:color w:val="auto"/>
        </w:rPr>
        <w:t xml:space="preserve"> Computer software expense consists primarily of software subscription fees, licensing fees and non-capitalizable software implementation costs.</w:t>
      </w:r>
    </w:p>
    <w:p>
      <w:pPr>
        <w:ind w:right="180"/>
        <w:spacing w:after="0" w:line="219" w:lineRule="auto"/>
        <w:rPr>
          <w:rFonts w:ascii="Arial" w:cs="Arial" w:eastAsia="Arial" w:hAnsi="Arial"/>
          <w:sz w:val="21"/>
          <w:szCs w:val="21"/>
          <w:color w:val="auto"/>
          <w:vertAlign w:val="superscript"/>
        </w:rPr>
      </w:pPr>
      <w:r>
        <w:rPr>
          <w:rFonts w:ascii="Arial" w:cs="Arial" w:eastAsia="Arial" w:hAnsi="Arial"/>
          <w:sz w:val="23"/>
          <w:szCs w:val="23"/>
          <w:color w:val="auto"/>
          <w:vertAlign w:val="superscript"/>
        </w:rPr>
        <w:t>4</w:t>
      </w:r>
      <w:r>
        <w:rPr>
          <w:rFonts w:ascii="Arial" w:cs="Arial" w:eastAsia="Arial" w:hAnsi="Arial"/>
          <w:sz w:val="18"/>
          <w:szCs w:val="18"/>
          <w:color w:val="auto"/>
        </w:rPr>
        <w:t xml:space="preserve"> Progressive Leasing's sales, general and administrative expense was $80.2 million and $69.0 million during the three months ended September 30, 2021 and 2020, respectively.</w:t>
      </w:r>
    </w:p>
    <w:p>
      <w:pPr>
        <w:spacing w:after="0" w:line="1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increase in personnel costs of $2.4 million was driven by an increase of $4.2 million at Progressive Leasing for additional hiring and promotions resulting from continued growth in the business and new personnel costs for functions associated with becoming a standalone public company effective November 30, 2020. These increases were partially offset by $1.6 million related to executive personnel costs incurred by the Aaron's Business segment in the third quarter of 2020, which did not qualify for classification within discontinued operations, and are classified within unallocated corporate costs for segment purposes.</w:t>
      </w:r>
    </w:p>
    <w:p>
      <w:pPr>
        <w:spacing w:after="0" w:line="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Stock-based compensation increased $1.3 million due to $3.0 million incurred in the third quarter of 2021 for awards granted to personnel hired to support our continued growth and new business initiatives. This increase was partially offset by $2.3 million incurred in the third quarter of 2020 for executive awards previously classified within the Aaron's Business segment, which did not qualify for classification within discontinued operations, and are classified within unallocated corporate costs for segment purposes.</w:t>
      </w:r>
    </w:p>
    <w:p>
      <w:pPr>
        <w:spacing w:after="0" w:line="6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Advertising expenses increased $2.8 million primarily due to Progressive Leasing's efforts to continue growing GMV from existing POS partners and to further expand into e-commerce, combined with reduced marketing efforts in the third quarter of 2020 due to cost cutting measures implemented in response to the COVID-19 pandemic.</w:t>
      </w:r>
    </w:p>
    <w:p>
      <w:pPr>
        <w:spacing w:after="0" w:line="6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242424"/>
        </w:rPr>
        <w:t>Computer software expense increased $2.5 million compared to the prior year quarter primarily due to an increase in non-capitalizable software project costs at Progressive Leasing during 2021 and increased software licensing costs related to the overall growth of the Company.</w:t>
      </w:r>
    </w:p>
    <w:p>
      <w:pPr>
        <w:spacing w:after="0" w:line="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 xml:space="preserve">Provision for loan losses </w:t>
      </w:r>
      <w:r>
        <w:rPr>
          <w:rFonts w:ascii="Arial" w:cs="Arial" w:eastAsia="Arial" w:hAnsi="Arial"/>
          <w:sz w:val="16"/>
          <w:szCs w:val="16"/>
          <w:color w:val="242424"/>
        </w:rPr>
        <w:t>decreased $3.7 million in the</w:t>
      </w:r>
      <w:r>
        <w:rPr>
          <w:rFonts w:ascii="Arial" w:cs="Arial" w:eastAsia="Arial" w:hAnsi="Arial"/>
          <w:sz w:val="16"/>
          <w:szCs w:val="16"/>
          <w:color w:val="auto"/>
        </w:rPr>
        <w:t xml:space="preserve"> third </w:t>
      </w:r>
      <w:r>
        <w:rPr>
          <w:rFonts w:ascii="Arial" w:cs="Arial" w:eastAsia="Arial" w:hAnsi="Arial"/>
          <w:sz w:val="16"/>
          <w:szCs w:val="16"/>
          <w:color w:val="242424"/>
        </w:rPr>
        <w:t>quarter of 2021 compared to the prior year quarter primarily due to improved macroeconomic</w:t>
      </w:r>
      <w:r>
        <w:rPr>
          <w:rFonts w:ascii="Arial" w:cs="Arial" w:eastAsia="Arial" w:hAnsi="Arial"/>
          <w:sz w:val="16"/>
          <w:szCs w:val="16"/>
          <w:color w:val="auto"/>
        </w:rPr>
        <w:t xml:space="preserve"> </w:t>
      </w:r>
      <w:r>
        <w:rPr>
          <w:rFonts w:ascii="Arial" w:cs="Arial" w:eastAsia="Arial" w:hAnsi="Arial"/>
          <w:sz w:val="16"/>
          <w:szCs w:val="16"/>
          <w:color w:val="242424"/>
        </w:rPr>
        <w:t xml:space="preserve">conditions and changes to estimates in our allowance for loan losses that resulted in a $3.4 million release of the allowance in the </w:t>
      </w:r>
      <w:r>
        <w:rPr>
          <w:rFonts w:ascii="Arial" w:cs="Arial" w:eastAsia="Arial" w:hAnsi="Arial"/>
          <w:sz w:val="16"/>
          <w:szCs w:val="16"/>
          <w:color w:val="000000"/>
        </w:rPr>
        <w:t>third</w:t>
      </w:r>
      <w:r>
        <w:rPr>
          <w:rFonts w:ascii="Arial" w:cs="Arial" w:eastAsia="Arial" w:hAnsi="Arial"/>
          <w:sz w:val="16"/>
          <w:szCs w:val="16"/>
          <w:color w:val="242424"/>
        </w:rPr>
        <w:t xml:space="preserve"> quarter of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and Expenses</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Depreciation of lease merchandise. </w:t>
      </w:r>
      <w:r>
        <w:rPr>
          <w:rFonts w:ascii="Arial" w:cs="Arial" w:eastAsia="Arial" w:hAnsi="Arial"/>
          <w:sz w:val="18"/>
          <w:szCs w:val="18"/>
          <w:color w:val="auto"/>
        </w:rPr>
        <w:t>Depreciation of lease merchandise increased due to growth in Progressive Leasing's portfolio of leased assets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2021 compared to 2020. As a percentage of total lease revenues and fees, depreciation of lease merchandise increased to 68.6% from 67.4% in the prior year quarter, primarily due to an increase in uncollectible renewal payments in the third quarter of 2021 compared to 2020 as discussed above, partially offset by lower early lease buyouts.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9" w:name="page30"/>
    <w:bookmarkEnd w:id="29"/>
    <w:p>
      <w:pPr>
        <w:ind w:right="80"/>
        <w:spacing w:after="0" w:line="293" w:lineRule="auto"/>
        <w:rPr>
          <w:sz w:val="20"/>
          <w:szCs w:val="20"/>
          <w:color w:val="auto"/>
        </w:rPr>
      </w:pPr>
      <w:r>
        <w:rPr>
          <w:rFonts w:ascii="Arial" w:cs="Arial" w:eastAsia="Arial" w:hAnsi="Arial"/>
          <w:sz w:val="16"/>
          <w:szCs w:val="16"/>
          <w:i w:val="1"/>
          <w:iCs w:val="1"/>
          <w:color w:val="auto"/>
        </w:rPr>
        <w:t>Provision for lease merchandise write-offs</w:t>
      </w:r>
      <w:r>
        <w:rPr>
          <w:rFonts w:ascii="Arial" w:cs="Arial" w:eastAsia="Arial" w:hAnsi="Arial"/>
          <w:sz w:val="16"/>
          <w:szCs w:val="16"/>
          <w:color w:val="auto"/>
        </w:rPr>
        <w:t>. The provision for lease merchandise write-offs increased $21.6 million due to customer payment delinquencies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third quarter of 2021 trending higher towards pre-pandemic rates as compared to the strong customer payment activity and historically low lease merchandise charge-offs we experienced during the third quarter of 2020. In the third quarter of 2021, we released $1.7 million of incremental COVID-19 lease merchandise allowance, which was established in the first quarter of 2020. Given the significant uncertainty regarding the impacts of the COVID-19 pandemic and its effects on our customers and on our business going forward, a high level of estimation was involved in determining the allowance as of September 30, 2021. Therefore, actual lease merchandise write-offs could differ materially from the allowance.</w:t>
      </w:r>
    </w:p>
    <w:p>
      <w:pPr>
        <w:spacing w:after="0" w:line="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provision for lease merchandise write-offs as a percentage of lease revenues increased to 5.4% in the third quarter of 2021 from 2.1% in the same period in 2020, as a result of higher customer payment delinquencies in 2021, as discussed above.</w:t>
      </w:r>
    </w:p>
    <w:p>
      <w:pPr>
        <w:spacing w:after="0" w:line="4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Separation related charges. </w:t>
      </w:r>
      <w:r>
        <w:rPr>
          <w:rFonts w:ascii="Arial" w:cs="Arial" w:eastAsia="Arial" w:hAnsi="Arial"/>
          <w:sz w:val="18"/>
          <w:szCs w:val="18"/>
          <w:color w:val="auto"/>
        </w:rPr>
        <w:t>The Company incurred $2.4 million of stock-based compensation and retirement costs in the third quarter of 2020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separation of the Aaron's Business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Before Income Taxes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earnings before income taxes by reportable segment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3"/>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5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095"/>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Progressive Leasing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76,435</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106,682</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95"/>
              <w:spacing w:after="0"/>
              <w:rPr>
                <w:sz w:val="20"/>
                <w:szCs w:val="20"/>
                <w:color w:val="auto"/>
              </w:rPr>
            </w:pPr>
            <w:r>
              <w:rPr>
                <w:rFonts w:ascii="Arial" w:cs="Arial" w:eastAsia="Arial" w:hAnsi="Arial"/>
                <w:sz w:val="18"/>
                <w:szCs w:val="18"/>
                <w:color w:val="auto"/>
              </w:rPr>
              <w:t>(30,247)</w:t>
            </w:r>
          </w:p>
        </w:tc>
        <w:tc>
          <w:tcPr>
            <w:tcW w:w="100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6,354</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8,701</w:t>
            </w:r>
          </w:p>
        </w:tc>
        <w:tc>
          <w:tcPr>
            <w:tcW w:w="1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(4,912)</w:t>
            </w:r>
          </w:p>
        </w:tc>
        <w:tc>
          <w:tcPr>
            <w:tcW w:w="50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500" w:type="dxa"/>
            <w:vAlign w:val="bottom"/>
          </w:tcPr>
          <w:p>
            <w:pPr>
              <w:jc w:val="right"/>
              <w:ind w:right="495"/>
              <w:spacing w:after="0"/>
              <w:rPr>
                <w:sz w:val="20"/>
                <w:szCs w:val="20"/>
                <w:color w:val="auto"/>
              </w:rPr>
            </w:pPr>
            <w:r>
              <w:rPr>
                <w:rFonts w:ascii="Arial" w:cs="Arial" w:eastAsia="Arial" w:hAnsi="Arial"/>
                <w:sz w:val="18"/>
                <w:szCs w:val="18"/>
                <w:color w:val="auto"/>
              </w:rPr>
              <w:t>(4,912)</w:t>
            </w:r>
          </w:p>
        </w:tc>
        <w:tc>
          <w:tcPr>
            <w:tcW w:w="1000" w:type="dxa"/>
            <w:vAlign w:val="bottom"/>
          </w:tcPr>
          <w:p>
            <w:pPr>
              <w:ind w:left="480"/>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Corporate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4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8"/>
                <w:szCs w:val="18"/>
                <w:color w:val="auto"/>
              </w:rPr>
              <w:t>8,687</w:t>
            </w:r>
          </w:p>
        </w:tc>
        <w:tc>
          <w:tcPr>
            <w:tcW w:w="10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Total Earnings Before 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77,877</w:t>
            </w:r>
          </w:p>
        </w:tc>
        <w:tc>
          <w:tcPr>
            <w:tcW w:w="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95,648</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(17,771)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nmf—Calculation is not meaningful</w:t>
      </w:r>
    </w:p>
    <w:p>
      <w:pPr>
        <w:spacing w:after="0" w:line="167"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The $4.9 million loss before income taxes within "Other" primarily relates to our Four operations. Unallocated corporate expenses represent certain expenses that had previously been reported within the Aaron's Business segment in 2020 that did not qualify for classification within discontinued operations. Factors impacting the change in earnings before income taxes are discussed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 expense decreased to $20.5 million for the three months ended September 30, 2021 compared to $21.0 million recorded in the prior year comparable period. The effective tax rate of 22.0% for the three months ended September 30, 2020 was lower than the Company's statutory income tax rate due to a discrete income tax benefit related to stock option exercises generated during the three months ended September 30, 2020. The effective tax rate of 26.3% for the three months ended September 30, 2021 was higher than the Company's statutory income tax rate due to the recognition of $1.0 million of interest on uncertain tax position liabilities.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 – Nine months ended September 30, 2021 and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83"/>
              </w:rPr>
              <w:t>2020</w:t>
            </w:r>
          </w:p>
        </w:tc>
        <w:tc>
          <w:tcPr>
            <w:tcW w:w="4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172"/>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360"/>
              <w:spacing w:after="0"/>
              <w:rPr>
                <w:sz w:val="20"/>
                <w:szCs w:val="20"/>
                <w:color w:val="auto"/>
              </w:rPr>
            </w:pPr>
            <w:r>
              <w:rPr>
                <w:rFonts w:ascii="Arial" w:cs="Arial" w:eastAsia="Arial" w:hAnsi="Arial"/>
                <w:sz w:val="18"/>
                <w:szCs w:val="18"/>
                <w:color w:val="auto"/>
              </w:rPr>
              <w:t>Lease Revenues and Fees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1,989,055</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w w:val="94"/>
              </w:rPr>
              <w:t>1,849,388</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139,667</w:t>
            </w:r>
          </w:p>
        </w:tc>
        <w:tc>
          <w:tcPr>
            <w:tcW w:w="1080" w:type="dxa"/>
            <w:vAlign w:val="bottom"/>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Fees on Loans Receivable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42,322</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29,555</w:t>
            </w:r>
          </w:p>
        </w:tc>
        <w:tc>
          <w:tcPr>
            <w:tcW w:w="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rPr>
              <w:t>12,767</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2,031,377</w:t>
            </w:r>
          </w:p>
        </w:tc>
        <w:tc>
          <w:tcPr>
            <w:tcW w:w="6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w w:val="94"/>
              </w:rPr>
              <w:t>1,878,943</w:t>
            </w:r>
          </w:p>
        </w:tc>
        <w:tc>
          <w:tcPr>
            <w:tcW w:w="460" w:type="dxa"/>
            <w:vAlign w:val="bottom"/>
          </w:tcPr>
          <w:p>
            <w:pPr>
              <w:spacing w:after="0"/>
              <w:rPr>
                <w:sz w:val="19"/>
                <w:szCs w:val="19"/>
                <w:color w:val="auto"/>
              </w:rPr>
            </w:pP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152,434</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360"/>
              <w:spacing w:after="0"/>
              <w:rPr>
                <w:sz w:val="20"/>
                <w:szCs w:val="20"/>
                <w:color w:val="auto"/>
              </w:rPr>
            </w:pPr>
            <w:r>
              <w:rPr>
                <w:rFonts w:ascii="Arial" w:cs="Arial" w:eastAsia="Arial" w:hAnsi="Arial"/>
                <w:sz w:val="18"/>
                <w:szCs w:val="18"/>
                <w:color w:val="auto"/>
              </w:rPr>
              <w:t>Depreciation of Lease Merchandise</w:t>
            </w:r>
          </w:p>
        </w:tc>
        <w:tc>
          <w:tcPr>
            <w:tcW w:w="3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1,380,572</w:t>
            </w:r>
          </w:p>
        </w:tc>
        <w:tc>
          <w:tcPr>
            <w:tcW w:w="6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w w:val="94"/>
              </w:rPr>
              <w:t>1,289,885</w:t>
            </w:r>
          </w:p>
        </w:tc>
        <w:tc>
          <w:tcPr>
            <w:tcW w:w="460" w:type="dxa"/>
            <w:vAlign w:val="bottom"/>
          </w:tcPr>
          <w:p>
            <w:pPr>
              <w:spacing w:after="0"/>
              <w:rPr>
                <w:sz w:val="19"/>
                <w:szCs w:val="19"/>
                <w:color w:val="auto"/>
              </w:rPr>
            </w:pP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90,687</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Lease Merchandise Write-Offs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84,072</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104,443</w:t>
            </w: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(20,371)</w:t>
            </w:r>
          </w:p>
        </w:tc>
        <w:tc>
          <w:tcPr>
            <w:tcW w:w="1080" w:type="dxa"/>
            <w:vAlign w:val="bottom"/>
            <w:shd w:val="clear" w:color="auto" w:fill="CCEEFF"/>
          </w:tcPr>
          <w:p>
            <w:pPr>
              <w:jc w:val="center"/>
              <w:ind w:left="211"/>
              <w:spacing w:after="0"/>
              <w:rPr>
                <w:sz w:val="20"/>
                <w:szCs w:val="20"/>
                <w:color w:val="auto"/>
              </w:rPr>
            </w:pPr>
            <w:r>
              <w:rPr>
                <w:rFonts w:ascii="Arial" w:cs="Arial" w:eastAsia="Arial" w:hAnsi="Arial"/>
                <w:sz w:val="18"/>
                <w:szCs w:val="18"/>
                <w:color w:val="auto"/>
                <w:w w:val="89"/>
              </w:rPr>
              <w:t>(19.5)</w:t>
            </w:r>
          </w:p>
        </w:tc>
        <w:tc>
          <w:tcPr>
            <w:tcW w:w="0" w:type="dxa"/>
            <w:vAlign w:val="bottom"/>
          </w:tcPr>
          <w:p>
            <w:pPr>
              <w:spacing w:after="0"/>
              <w:rPr>
                <w:sz w:val="1"/>
                <w:szCs w:val="1"/>
                <w:color w:val="auto"/>
              </w:rPr>
            </w:pPr>
          </w:p>
        </w:tc>
      </w:tr>
      <w:tr>
        <w:trPr>
          <w:trHeight w:val="229"/>
        </w:trPr>
        <w:tc>
          <w:tcPr>
            <w:tcW w:w="5120" w:type="dxa"/>
            <w:vAlign w:val="bottom"/>
          </w:tcPr>
          <w:p>
            <w:pPr>
              <w:ind w:left="36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289,994</w:t>
            </w:r>
          </w:p>
        </w:tc>
        <w:tc>
          <w:tcPr>
            <w:tcW w:w="6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276,935</w:t>
            </w:r>
          </w:p>
        </w:tc>
        <w:tc>
          <w:tcPr>
            <w:tcW w:w="460" w:type="dxa"/>
            <w:vAlign w:val="bottom"/>
          </w:tcPr>
          <w:p>
            <w:pPr>
              <w:spacing w:after="0"/>
              <w:rPr>
                <w:sz w:val="19"/>
                <w:szCs w:val="19"/>
                <w:color w:val="auto"/>
              </w:rPr>
            </w:pP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13,059</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Separation Related Charges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2,443</w:t>
            </w:r>
          </w:p>
        </w:tc>
        <w:tc>
          <w:tcPr>
            <w:tcW w:w="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(2,443)</w:t>
            </w:r>
          </w:p>
        </w:tc>
        <w:tc>
          <w:tcPr>
            <w:tcW w:w="1080" w:type="dxa"/>
            <w:vAlign w:val="bottom"/>
            <w:tcBorders>
              <w:bottom w:val="single" w:sz="8" w:color="auto"/>
            </w:tcBorders>
            <w:shd w:val="clear" w:color="auto" w:fill="CCEEFF"/>
          </w:tcPr>
          <w:p>
            <w:pPr>
              <w:jc w:val="center"/>
              <w:ind w:left="231"/>
              <w:spacing w:after="0"/>
              <w:rPr>
                <w:sz w:val="20"/>
                <w:szCs w:val="20"/>
                <w:color w:val="auto"/>
              </w:rPr>
            </w:pPr>
            <w:r>
              <w:rPr>
                <w:rFonts w:ascii="Arial" w:cs="Arial" w:eastAsia="Arial" w:hAnsi="Arial"/>
                <w:sz w:val="18"/>
                <w:szCs w:val="18"/>
                <w:color w:val="auto"/>
                <w:w w:val="93"/>
              </w:rPr>
              <w:t>nmf</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1,754,638</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4"/>
              </w:rPr>
              <w:t>1,673,706</w:t>
            </w:r>
          </w:p>
        </w:tc>
        <w:tc>
          <w:tcPr>
            <w:tcW w:w="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80,932</w:t>
            </w: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276,739</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205,237</w:t>
            </w: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71,502</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(1,392)</w:t>
            </w:r>
          </w:p>
        </w:tc>
        <w:tc>
          <w:tcPr>
            <w:tcW w:w="1080" w:type="dxa"/>
            <w:vAlign w:val="bottom"/>
            <w:tcBorders>
              <w:bottom w:val="single" w:sz="8" w:color="auto"/>
            </w:tcBorders>
          </w:tcPr>
          <w:p>
            <w:pPr>
              <w:jc w:val="center"/>
              <w:ind w:left="231"/>
              <w:spacing w:after="0"/>
              <w:rPr>
                <w:sz w:val="20"/>
                <w:szCs w:val="20"/>
                <w:color w:val="auto"/>
              </w:rPr>
            </w:pPr>
            <w:r>
              <w:rPr>
                <w:rFonts w:ascii="Arial" w:cs="Arial" w:eastAsia="Arial" w:hAnsi="Arial"/>
                <w:sz w:val="18"/>
                <w:szCs w:val="18"/>
                <w:color w:val="auto"/>
                <w:w w:val="93"/>
              </w:rPr>
              <w:t>nmf</w:t>
            </w:r>
          </w:p>
        </w:tc>
        <w:tc>
          <w:tcPr>
            <w:tcW w:w="0" w:type="dxa"/>
            <w:vAlign w:val="bottom"/>
          </w:tcPr>
          <w:p>
            <w:pPr>
              <w:spacing w:after="0"/>
              <w:rPr>
                <w:sz w:val="1"/>
                <w:szCs w:val="1"/>
                <w:color w:val="auto"/>
              </w:rPr>
            </w:pPr>
          </w:p>
        </w:tc>
      </w:tr>
      <w:tr>
        <w:trPr>
          <w:trHeight w:val="156"/>
        </w:trPr>
        <w:tc>
          <w:tcPr>
            <w:tcW w:w="51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EARNINGS FROM CONTINUING OPERATIONS BEFORE</w:t>
            </w:r>
          </w:p>
        </w:tc>
        <w:tc>
          <w:tcPr>
            <w:tcW w:w="3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275,347</w:t>
            </w:r>
          </w:p>
        </w:tc>
        <w:tc>
          <w:tcPr>
            <w:tcW w:w="6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205,237</w:t>
            </w:r>
          </w:p>
        </w:tc>
        <w:tc>
          <w:tcPr>
            <w:tcW w:w="4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572"/>
              <w:spacing w:after="0"/>
              <w:rPr>
                <w:sz w:val="20"/>
                <w:szCs w:val="20"/>
                <w:color w:val="auto"/>
              </w:rPr>
            </w:pPr>
            <w:r>
              <w:rPr>
                <w:rFonts w:ascii="Arial" w:cs="Arial" w:eastAsia="Arial" w:hAnsi="Arial"/>
                <w:sz w:val="18"/>
                <w:szCs w:val="18"/>
                <w:color w:val="auto"/>
              </w:rPr>
              <w:t>70,110</w:t>
            </w:r>
          </w:p>
        </w:tc>
        <w:tc>
          <w:tcPr>
            <w:tcW w:w="108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TAXES</w:t>
            </w:r>
          </w:p>
        </w:tc>
        <w:tc>
          <w:tcPr>
            <w:tcW w:w="3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69,609</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13,915</w:t>
            </w:r>
          </w:p>
        </w:tc>
        <w:tc>
          <w:tcPr>
            <w:tcW w:w="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55,694</w:t>
            </w: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400.2</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FROM CONTINUING OPERATIONS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205,738</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191,322</w:t>
            </w: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14,416</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76"/>
        </w:trPr>
        <w:tc>
          <w:tcPr>
            <w:tcW w:w="51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LOSS FROM DISCONTINUED OPERATIONS, NET OF</w:t>
            </w:r>
          </w:p>
        </w:tc>
        <w:tc>
          <w:tcPr>
            <w:tcW w:w="320" w:type="dxa"/>
            <w:vAlign w:val="bottom"/>
          </w:tcPr>
          <w:p>
            <w:pPr>
              <w:spacing w:after="0"/>
              <w:rPr>
                <w:sz w:val="15"/>
                <w:szCs w:val="15"/>
                <w:color w:val="auto"/>
              </w:rPr>
            </w:pPr>
          </w:p>
        </w:tc>
        <w:tc>
          <w:tcPr>
            <w:tcW w:w="114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(293,605)</w:t>
            </w:r>
          </w:p>
        </w:tc>
        <w:tc>
          <w:tcPr>
            <w:tcW w:w="460" w:type="dxa"/>
            <w:vAlign w:val="bottom"/>
          </w:tcPr>
          <w:p>
            <w:pPr>
              <w:spacing w:after="0"/>
              <w:rPr>
                <w:sz w:val="15"/>
                <w:szCs w:val="15"/>
                <w:color w:val="auto"/>
              </w:rPr>
            </w:pPr>
          </w:p>
        </w:tc>
        <w:tc>
          <w:tcPr>
            <w:tcW w:w="1600" w:type="dxa"/>
            <w:vAlign w:val="bottom"/>
            <w:vMerge w:val="restart"/>
          </w:tcPr>
          <w:p>
            <w:pPr>
              <w:jc w:val="right"/>
              <w:ind w:right="572"/>
              <w:spacing w:after="0"/>
              <w:rPr>
                <w:sz w:val="20"/>
                <w:szCs w:val="20"/>
                <w:color w:val="auto"/>
              </w:rPr>
            </w:pPr>
            <w:r>
              <w:rPr>
                <w:rFonts w:ascii="Arial" w:cs="Arial" w:eastAsia="Arial" w:hAnsi="Arial"/>
                <w:sz w:val="18"/>
                <w:szCs w:val="18"/>
                <w:color w:val="auto"/>
              </w:rPr>
              <w:t>293,605</w:t>
            </w:r>
          </w:p>
        </w:tc>
        <w:tc>
          <w:tcPr>
            <w:tcW w:w="1080" w:type="dxa"/>
            <w:vAlign w:val="bottom"/>
            <w:vMerge w:val="restart"/>
          </w:tcPr>
          <w:p>
            <w:pPr>
              <w:jc w:val="center"/>
              <w:ind w:left="231"/>
              <w:spacing w:after="0"/>
              <w:rPr>
                <w:sz w:val="20"/>
                <w:szCs w:val="20"/>
                <w:color w:val="auto"/>
              </w:rPr>
            </w:pPr>
            <w:r>
              <w:rPr>
                <w:rFonts w:ascii="Arial" w:cs="Arial" w:eastAsia="Arial" w:hAnsi="Arial"/>
                <w:sz w:val="18"/>
                <w:szCs w:val="18"/>
                <w:color w:val="auto"/>
                <w:w w:val="93"/>
              </w:rPr>
              <w:t>nmf</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205,738</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(102,283)</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rPr>
              <w:t>308,021</w:t>
            </w:r>
          </w:p>
        </w:tc>
        <w:tc>
          <w:tcPr>
            <w:tcW w:w="1080" w:type="dxa"/>
            <w:vAlign w:val="bottom"/>
            <w:tcBorders>
              <w:bottom w:val="single" w:sz="8" w:color="auto"/>
            </w:tcBorders>
            <w:shd w:val="clear" w:color="auto" w:fill="CCEEFF"/>
          </w:tcPr>
          <w:p>
            <w:pPr>
              <w:jc w:val="center"/>
              <w:ind w:left="231"/>
              <w:spacing w:after="0"/>
              <w:rPr>
                <w:sz w:val="20"/>
                <w:szCs w:val="20"/>
                <w:color w:val="auto"/>
              </w:rPr>
            </w:pPr>
            <w:r>
              <w:rPr>
                <w:rFonts w:ascii="Arial" w:cs="Arial" w:eastAsia="Arial" w:hAnsi="Arial"/>
                <w:sz w:val="18"/>
                <w:szCs w:val="18"/>
                <w:color w:val="auto"/>
                <w:w w:val="93"/>
              </w:rPr>
              <w:t>nmf</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nmf—Calculation is not meaningful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revenues by source and reportable segment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Nine Months Ended September 30, 2021</w:t>
            </w: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w w:val="95"/>
              </w:rPr>
              <w:t>Nine Months Ended September 30, 2020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900" w:type="dxa"/>
            <w:vAlign w:val="bottom"/>
          </w:tcPr>
          <w:p>
            <w:pPr>
              <w:jc w:val="right"/>
              <w:ind w:right="84"/>
              <w:spacing w:after="0" w:line="135" w:lineRule="exact"/>
              <w:rPr>
                <w:sz w:val="20"/>
                <w:szCs w:val="20"/>
                <w:color w:val="auto"/>
              </w:rPr>
            </w:pPr>
            <w:r>
              <w:rPr>
                <w:rFonts w:ascii="Arial" w:cs="Arial" w:eastAsia="Arial" w:hAnsi="Arial"/>
                <w:sz w:val="14"/>
                <w:szCs w:val="14"/>
                <w:b w:val="1"/>
                <w:bCs w:val="1"/>
                <w:color w:val="auto"/>
                <w:w w:val="89"/>
              </w:rPr>
              <w:t>Progressive</w:t>
            </w:r>
          </w:p>
        </w:tc>
        <w:tc>
          <w:tcPr>
            <w:tcW w:w="280" w:type="dxa"/>
            <w:vAlign w:val="bottom"/>
          </w:tcPr>
          <w:p>
            <w:pPr>
              <w:spacing w:after="0"/>
              <w:rPr>
                <w:sz w:val="11"/>
                <w:szCs w:val="11"/>
                <w:color w:val="auto"/>
              </w:rPr>
            </w:pPr>
          </w:p>
        </w:tc>
        <w:tc>
          <w:tcPr>
            <w:tcW w:w="1020" w:type="dxa"/>
            <w:vAlign w:val="bottom"/>
            <w:vMerge w:val="restart"/>
          </w:tcPr>
          <w:p>
            <w:pPr>
              <w:jc w:val="right"/>
              <w:ind w:right="521"/>
              <w:spacing w:after="0"/>
              <w:rPr>
                <w:sz w:val="20"/>
                <w:szCs w:val="20"/>
                <w:color w:val="auto"/>
              </w:rPr>
            </w:pPr>
            <w:r>
              <w:rPr>
                <w:rFonts w:ascii="Arial" w:cs="Arial" w:eastAsia="Arial" w:hAnsi="Arial"/>
                <w:sz w:val="14"/>
                <w:szCs w:val="14"/>
                <w:b w:val="1"/>
                <w:bCs w:val="1"/>
                <w:color w:val="auto"/>
              </w:rPr>
              <w:t>Vive</w:t>
            </w:r>
          </w:p>
        </w:tc>
        <w:tc>
          <w:tcPr>
            <w:tcW w:w="1100" w:type="dxa"/>
            <w:vAlign w:val="bottom"/>
            <w:vMerge w:val="restart"/>
          </w:tcPr>
          <w:p>
            <w:pPr>
              <w:jc w:val="right"/>
              <w:ind w:right="521"/>
              <w:spacing w:after="0"/>
              <w:rPr>
                <w:sz w:val="20"/>
                <w:szCs w:val="20"/>
                <w:color w:val="auto"/>
              </w:rPr>
            </w:pPr>
            <w:r>
              <w:rPr>
                <w:rFonts w:ascii="Arial" w:cs="Arial" w:eastAsia="Arial" w:hAnsi="Arial"/>
                <w:sz w:val="14"/>
                <w:szCs w:val="14"/>
                <w:b w:val="1"/>
                <w:bCs w:val="1"/>
                <w:color w:val="auto"/>
              </w:rPr>
              <w:t>Other</w:t>
            </w:r>
          </w:p>
        </w:tc>
        <w:tc>
          <w:tcPr>
            <w:tcW w:w="78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900" w:type="dxa"/>
            <w:vAlign w:val="bottom"/>
          </w:tcPr>
          <w:p>
            <w:pPr>
              <w:jc w:val="right"/>
              <w:ind w:right="84"/>
              <w:spacing w:after="0" w:line="135" w:lineRule="exact"/>
              <w:rPr>
                <w:sz w:val="20"/>
                <w:szCs w:val="20"/>
                <w:color w:val="auto"/>
              </w:rPr>
            </w:pPr>
            <w:r>
              <w:rPr>
                <w:rFonts w:ascii="Arial" w:cs="Arial" w:eastAsia="Arial" w:hAnsi="Arial"/>
                <w:sz w:val="14"/>
                <w:szCs w:val="14"/>
                <w:b w:val="1"/>
                <w:bCs w:val="1"/>
                <w:color w:val="auto"/>
                <w:w w:val="89"/>
              </w:rPr>
              <w:t>Progressive</w:t>
            </w:r>
          </w:p>
        </w:tc>
        <w:tc>
          <w:tcPr>
            <w:tcW w:w="280" w:type="dxa"/>
            <w:vAlign w:val="bottom"/>
          </w:tcPr>
          <w:p>
            <w:pPr>
              <w:spacing w:after="0"/>
              <w:rPr>
                <w:sz w:val="11"/>
                <w:szCs w:val="11"/>
                <w:color w:val="auto"/>
              </w:rPr>
            </w:pPr>
          </w:p>
        </w:tc>
        <w:tc>
          <w:tcPr>
            <w:tcW w:w="1020" w:type="dxa"/>
            <w:vAlign w:val="bottom"/>
            <w:vMerge w:val="restart"/>
          </w:tcPr>
          <w:p>
            <w:pPr>
              <w:jc w:val="right"/>
              <w:ind w:right="521"/>
              <w:spacing w:after="0"/>
              <w:rPr>
                <w:sz w:val="20"/>
                <w:szCs w:val="20"/>
                <w:color w:val="auto"/>
              </w:rPr>
            </w:pPr>
            <w:r>
              <w:rPr>
                <w:rFonts w:ascii="Arial" w:cs="Arial" w:eastAsia="Arial" w:hAnsi="Arial"/>
                <w:sz w:val="14"/>
                <w:szCs w:val="14"/>
                <w:b w:val="1"/>
                <w:bCs w:val="1"/>
                <w:color w:val="auto"/>
              </w:rPr>
              <w:t>Vive</w:t>
            </w:r>
          </w:p>
        </w:tc>
        <w:tc>
          <w:tcPr>
            <w:tcW w:w="11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80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7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Revenues and Fees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1,989,055</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1,989,055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1,849,388</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1,849,388</w:t>
            </w:r>
          </w:p>
        </w:tc>
        <w:tc>
          <w:tcPr>
            <w:tcW w:w="0" w:type="dxa"/>
            <w:vAlign w:val="bottom"/>
          </w:tcPr>
          <w:p>
            <w:pPr>
              <w:spacing w:after="0"/>
              <w:rPr>
                <w:sz w:val="1"/>
                <w:szCs w:val="1"/>
                <w:color w:val="auto"/>
              </w:rPr>
            </w:pPr>
          </w:p>
        </w:tc>
      </w:tr>
      <w:tr>
        <w:trPr>
          <w:trHeight w:val="175"/>
        </w:trPr>
        <w:tc>
          <w:tcPr>
            <w:tcW w:w="2760" w:type="dxa"/>
            <w:vAlign w:val="bottom"/>
          </w:tcPr>
          <w:p>
            <w:pPr>
              <w:ind w:left="20"/>
              <w:spacing w:after="0" w:line="176" w:lineRule="exact"/>
              <w:rPr>
                <w:sz w:val="20"/>
                <w:szCs w:val="20"/>
                <w:color w:val="auto"/>
              </w:rPr>
            </w:pPr>
            <w:r>
              <w:rPr>
                <w:rFonts w:ascii="Arial" w:cs="Arial" w:eastAsia="Arial" w:hAnsi="Arial"/>
                <w:sz w:val="18"/>
                <w:szCs w:val="18"/>
                <w:color w:val="auto"/>
              </w:rPr>
              <w:t>Interest and Fees on Loans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Receivable</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42,154</w:t>
            </w:r>
          </w:p>
        </w:tc>
        <w:tc>
          <w:tcPr>
            <w:tcW w:w="11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168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42,322</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29,555</w:t>
            </w:r>
          </w:p>
        </w:tc>
        <w:tc>
          <w:tcPr>
            <w:tcW w:w="110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29,555</w:t>
            </w:r>
          </w:p>
        </w:tc>
        <w:tc>
          <w:tcPr>
            <w:tcW w:w="0" w:type="dxa"/>
            <w:vAlign w:val="bottom"/>
          </w:tcPr>
          <w:p>
            <w:pPr>
              <w:spacing w:after="0"/>
              <w:rPr>
                <w:sz w:val="1"/>
                <w:szCs w:val="1"/>
                <w:color w:val="auto"/>
              </w:rPr>
            </w:pPr>
          </w:p>
        </w:tc>
      </w:tr>
      <w:tr>
        <w:trPr>
          <w:trHeight w:val="235"/>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1,989,055</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42,154 $</w:t>
            </w:r>
          </w:p>
        </w:tc>
        <w:tc>
          <w:tcPr>
            <w:tcW w:w="11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168 $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2,031,377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1,849,388</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29,555 $</w:t>
            </w:r>
          </w:p>
        </w:tc>
        <w:tc>
          <w:tcPr>
            <w:tcW w:w="11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1,878,943</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increase in Progressive Leasing revenues was due to a 14.8% increase in GMV driven by growth from large national POS partners and e-commerce platforms, in addition to strong customer payment performance and elevated early lease buyout activity during the nine months ended September 30, 2021 compared to the same period in 2020. Although customer payment delinquencies and uncollectible renewal payments during the third quarter of 2021 trended higher towards pre-pandemic rates, that factor was more than offset by the strong customer payment activity we experienced during the first half of 2021, as compared to the same period in 2020. The increase in Vive revenues was due to continued strong customer payment performance and an 84.8% increase in GMV in the nine months ended September 30, 2021, compared to the nine months ended September 30, 2020, resulting in growth in our loans receivable portfolio and additional interest and fee revenues.</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Information about certain significant components of operating expenses for the nine months ended September 30, 2021 as compared to the nine months ended September 30, 2020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jc w:val="right"/>
              <w:ind w:right="791"/>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4"/>
                <w:szCs w:val="14"/>
                <w:color w:val="auto"/>
              </w:rPr>
            </w:pPr>
          </w:p>
        </w:tc>
        <w:tc>
          <w:tcPr>
            <w:tcW w:w="16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173"/>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Personnel Costs</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137,363</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128,524</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8,839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14,803</w:t>
            </w:r>
          </w:p>
        </w:tc>
        <w:tc>
          <w:tcPr>
            <w:tcW w:w="5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15,832</w:t>
            </w:r>
          </w:p>
        </w:tc>
        <w:tc>
          <w:tcPr>
            <w:tcW w:w="460" w:type="dxa"/>
            <w:vAlign w:val="bottom"/>
          </w:tcPr>
          <w:p>
            <w:pPr>
              <w:spacing w:after="0"/>
              <w:rPr>
                <w:sz w:val="19"/>
                <w:szCs w:val="19"/>
                <w:color w:val="auto"/>
              </w:rPr>
            </w:pPr>
          </w:p>
        </w:tc>
        <w:tc>
          <w:tcPr>
            <w:tcW w:w="1620" w:type="dxa"/>
            <w:vAlign w:val="bottom"/>
          </w:tcPr>
          <w:p>
            <w:pPr>
              <w:jc w:val="right"/>
              <w:ind w:right="533"/>
              <w:spacing w:after="0"/>
              <w:rPr>
                <w:sz w:val="20"/>
                <w:szCs w:val="20"/>
                <w:color w:val="auto"/>
              </w:rPr>
            </w:pPr>
            <w:r>
              <w:rPr>
                <w:rFonts w:ascii="Arial" w:cs="Arial" w:eastAsia="Arial" w:hAnsi="Arial"/>
                <w:sz w:val="18"/>
                <w:szCs w:val="18"/>
                <w:color w:val="auto"/>
              </w:rPr>
              <w:t>(1,029)</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4,881</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5,142</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(261)</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11,944</w:t>
            </w:r>
          </w:p>
        </w:tc>
        <w:tc>
          <w:tcPr>
            <w:tcW w:w="5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4,870</w:t>
            </w:r>
          </w:p>
        </w:tc>
        <w:tc>
          <w:tcPr>
            <w:tcW w:w="460" w:type="dxa"/>
            <w:vAlign w:val="bottom"/>
          </w:tcPr>
          <w:p>
            <w:pPr>
              <w:spacing w:after="0"/>
              <w:rPr>
                <w:sz w:val="19"/>
                <w:szCs w:val="19"/>
                <w:color w:val="auto"/>
              </w:rPr>
            </w:pPr>
          </w:p>
        </w:tc>
        <w:tc>
          <w:tcPr>
            <w:tcW w:w="1620" w:type="dxa"/>
            <w:vAlign w:val="bottom"/>
          </w:tcPr>
          <w:p>
            <w:pPr>
              <w:jc w:val="right"/>
              <w:ind w:right="573"/>
              <w:spacing w:after="0"/>
              <w:rPr>
                <w:sz w:val="20"/>
                <w:szCs w:val="20"/>
                <w:color w:val="auto"/>
              </w:rPr>
            </w:pPr>
            <w:r>
              <w:rPr>
                <w:rFonts w:ascii="Arial" w:cs="Arial" w:eastAsia="Arial" w:hAnsi="Arial"/>
                <w:sz w:val="18"/>
                <w:szCs w:val="18"/>
                <w:color w:val="auto"/>
              </w:rPr>
              <w:t>7,074</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18,135</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11,398</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6,737</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line="230" w:lineRule="exact"/>
              <w:rPr>
                <w:sz w:val="20"/>
                <w:szCs w:val="20"/>
                <w:color w:val="auto"/>
              </w:rPr>
            </w:pPr>
            <w:r>
              <w:rPr>
                <w:rFonts w:ascii="Arial" w:cs="Arial" w:eastAsia="Arial" w:hAnsi="Arial"/>
                <w:sz w:val="18"/>
                <w:szCs w:val="18"/>
                <w:color w:val="auto"/>
              </w:rPr>
              <w:t>Sales Acquisition Expense</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16,118</w:t>
            </w:r>
          </w:p>
        </w:tc>
        <w:tc>
          <w:tcPr>
            <w:tcW w:w="5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13,811</w:t>
            </w:r>
          </w:p>
        </w:tc>
        <w:tc>
          <w:tcPr>
            <w:tcW w:w="460" w:type="dxa"/>
            <w:vAlign w:val="bottom"/>
          </w:tcPr>
          <w:p>
            <w:pPr>
              <w:spacing w:after="0"/>
              <w:rPr>
                <w:sz w:val="19"/>
                <w:szCs w:val="19"/>
                <w:color w:val="auto"/>
              </w:rPr>
            </w:pPr>
          </w:p>
        </w:tc>
        <w:tc>
          <w:tcPr>
            <w:tcW w:w="1620" w:type="dxa"/>
            <w:vAlign w:val="bottom"/>
          </w:tcPr>
          <w:p>
            <w:pPr>
              <w:jc w:val="right"/>
              <w:ind w:right="573"/>
              <w:spacing w:after="0"/>
              <w:rPr>
                <w:sz w:val="20"/>
                <w:szCs w:val="20"/>
                <w:color w:val="auto"/>
              </w:rPr>
            </w:pPr>
            <w:r>
              <w:rPr>
                <w:rFonts w:ascii="Arial" w:cs="Arial" w:eastAsia="Arial" w:hAnsi="Arial"/>
                <w:sz w:val="18"/>
                <w:szCs w:val="18"/>
                <w:color w:val="auto"/>
              </w:rPr>
              <w:t>2,307</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Computer Software Expense</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14,477</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9,774</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4,703</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Sales, General and Administrative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33,093</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39,995</w:t>
            </w:r>
          </w:p>
        </w:tc>
        <w:tc>
          <w:tcPr>
            <w:tcW w:w="4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(6,902)</w:t>
            </w: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180"/>
              <w:spacing w:after="0" w:line="223" w:lineRule="exact"/>
              <w:rPr>
                <w:sz w:val="20"/>
                <w:szCs w:val="20"/>
                <w:color w:val="auto"/>
              </w:rPr>
            </w:pPr>
            <w:r>
              <w:rPr>
                <w:rFonts w:ascii="Arial" w:cs="Arial" w:eastAsia="Arial" w:hAnsi="Arial"/>
                <w:sz w:val="18"/>
                <w:szCs w:val="18"/>
                <w:b w:val="1"/>
                <w:bCs w:val="1"/>
                <w:color w:val="auto"/>
              </w:rPr>
              <w:t>Sales, General and Administrative Expense</w:t>
            </w:r>
            <w:r>
              <w:rPr>
                <w:rFonts w:ascii="Arial" w:cs="Arial" w:eastAsia="Arial" w:hAnsi="Arial"/>
                <w:sz w:val="23"/>
                <w:szCs w:val="23"/>
                <w:color w:val="auto"/>
                <w:vertAlign w:val="superscript"/>
              </w:rPr>
              <w:t>4</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250,814</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229,346</w:t>
            </w:r>
          </w:p>
        </w:tc>
        <w:tc>
          <w:tcPr>
            <w:tcW w:w="4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21,468</w:t>
            </w:r>
          </w:p>
        </w:tc>
        <w:tc>
          <w:tcPr>
            <w:tcW w:w="10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Provision for Loan losses</w:t>
            </w:r>
          </w:p>
        </w:tc>
        <w:tc>
          <w:tcPr>
            <w:tcW w:w="34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14,724</w:t>
            </w:r>
          </w:p>
        </w:tc>
        <w:tc>
          <w:tcPr>
            <w:tcW w:w="5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23,761</w:t>
            </w:r>
          </w:p>
        </w:tc>
        <w:tc>
          <w:tcPr>
            <w:tcW w:w="460" w:type="dxa"/>
            <w:vAlign w:val="bottom"/>
          </w:tcPr>
          <w:p>
            <w:pPr>
              <w:spacing w:after="0"/>
              <w:rPr>
                <w:sz w:val="19"/>
                <w:szCs w:val="19"/>
                <w:color w:val="auto"/>
              </w:rPr>
            </w:pPr>
          </w:p>
        </w:tc>
        <w:tc>
          <w:tcPr>
            <w:tcW w:w="1620" w:type="dxa"/>
            <w:vAlign w:val="bottom"/>
          </w:tcPr>
          <w:p>
            <w:pPr>
              <w:jc w:val="right"/>
              <w:ind w:right="533"/>
              <w:spacing w:after="0"/>
              <w:rPr>
                <w:sz w:val="20"/>
                <w:szCs w:val="20"/>
                <w:color w:val="auto"/>
              </w:rPr>
            </w:pPr>
            <w:r>
              <w:rPr>
                <w:rFonts w:ascii="Arial" w:cs="Arial" w:eastAsia="Arial" w:hAnsi="Arial"/>
                <w:sz w:val="18"/>
                <w:szCs w:val="18"/>
                <w:color w:val="auto"/>
              </w:rPr>
              <w:t>(9,037)</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24,456</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23,828</w:t>
            </w:r>
          </w:p>
        </w:tc>
        <w:tc>
          <w:tcPr>
            <w:tcW w:w="4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628</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289,994</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276,935</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rPr>
              <w:t>13,059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00" w:hanging="92"/>
        <w:spacing w:after="0"/>
        <w:tabs>
          <w:tab w:leader="none" w:pos="10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Personnel costs excludes stock-based compensation expense, which is reported separately in the operating expense table.</w:t>
      </w:r>
    </w:p>
    <w:p>
      <w:pPr>
        <w:ind w:right="420" w:firstLine="8"/>
        <w:spacing w:after="0" w:line="249" w:lineRule="auto"/>
        <w:tabs>
          <w:tab w:leader="none" w:pos="88"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Sales acquisition expense includes vendor incentives and rebates to POS partners, external sales commissions, amortization of initial direct costs and amounts paid to various POS partners to be their exclusive provider of lease-to-own solutions.</w:t>
      </w:r>
    </w:p>
    <w:p>
      <w:pPr>
        <w:spacing w:after="0" w:line="206" w:lineRule="auto"/>
        <w:rPr>
          <w:rFonts w:ascii="Arial" w:cs="Arial" w:eastAsia="Arial" w:hAnsi="Arial"/>
          <w:sz w:val="21"/>
          <w:szCs w:val="21"/>
          <w:color w:val="auto"/>
          <w:vertAlign w:val="superscript"/>
        </w:rPr>
      </w:pPr>
      <w:r>
        <w:rPr>
          <w:rFonts w:ascii="Arial" w:cs="Arial" w:eastAsia="Arial" w:hAnsi="Arial"/>
          <w:sz w:val="22"/>
          <w:szCs w:val="22"/>
          <w:color w:val="auto"/>
          <w:vertAlign w:val="superscript"/>
        </w:rPr>
        <w:t>3</w:t>
      </w:r>
      <w:r>
        <w:rPr>
          <w:rFonts w:ascii="Arial" w:cs="Arial" w:eastAsia="Arial" w:hAnsi="Arial"/>
          <w:sz w:val="17"/>
          <w:szCs w:val="17"/>
          <w:color w:val="auto"/>
        </w:rPr>
        <w:t xml:space="preserve"> Computer software expense consists primarily of software subscription fees, licensing fees and non-capitalizable software implementation costs.</w:t>
      </w:r>
    </w:p>
    <w:p>
      <w:pPr>
        <w:ind w:right="60"/>
        <w:spacing w:after="0" w:line="219" w:lineRule="auto"/>
        <w:rPr>
          <w:rFonts w:ascii="Arial" w:cs="Arial" w:eastAsia="Arial" w:hAnsi="Arial"/>
          <w:sz w:val="21"/>
          <w:szCs w:val="21"/>
          <w:color w:val="auto"/>
          <w:vertAlign w:val="superscript"/>
        </w:rPr>
      </w:pPr>
      <w:r>
        <w:rPr>
          <w:rFonts w:ascii="Arial" w:cs="Arial" w:eastAsia="Arial" w:hAnsi="Arial"/>
          <w:sz w:val="23"/>
          <w:szCs w:val="23"/>
          <w:color w:val="auto"/>
          <w:vertAlign w:val="superscript"/>
        </w:rPr>
        <w:t>4</w:t>
      </w:r>
      <w:r>
        <w:rPr>
          <w:rFonts w:ascii="Arial" w:cs="Arial" w:eastAsia="Arial" w:hAnsi="Arial"/>
          <w:sz w:val="18"/>
          <w:szCs w:val="18"/>
          <w:color w:val="auto"/>
        </w:rPr>
        <w:t xml:space="preserve"> Progressive Leasing's sales, general and administrative expense was $231.7 million and $199.8 million during the nine months ended September 30, 2021 and 2020, respectively.</w:t>
      </w:r>
    </w:p>
    <w:p>
      <w:pPr>
        <w:spacing w:after="0" w:line="1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increase in personnel costs of $8.8 million was driven by an increase of $15.0 million at Progressive Leasing for additional hiring and promotions resulting from continued growth in the business and new personnel costs for functions associated with becoming a standalone public company effective November 30, 2020. These increases were partially offset by $6.7 million related to executive personnel costs incurred by the Aaron's Business segment in the nine months ended September 30, 2020, which did not qualify for classification within discontinued operations, and are classified within unallocated corporate costs for segment purposes.</w:t>
      </w:r>
    </w:p>
    <w:p>
      <w:pPr>
        <w:spacing w:after="0" w:line="5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Advertising expenses increased $7.1 million primarily due to Progressive Leasing's efforts to continue growing GMV from existing POS partners and to further expand into e-commerce, combined with reduced marketing efforts in the same period of 2020 due to cost cutting measures implemented in response to the COVID-19 pandemic.</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Professional services expenses increased $6.7 million due to costs incurred in 2021 related to our November 30, 2020 separation and distribution transaction and increased legal costs, combined with reduced professional services in 2020 due to cost cutting measures taken in response to the COVID-19 pandemic. These increases were partially offset by professional service expenses incurred by the Aaron's Business segment in the nine months ended September 30, 2020, which did not qualify for classification within discontinued operations, and are classified within unallocated corporate costs for segment purposes.</w:t>
      </w:r>
    </w:p>
    <w:p>
      <w:pPr>
        <w:spacing w:after="0" w:line="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Computer software expenses increased $4.7 million primarily due to non-capitalizable software implementation projects by Progressive Leasing during </w:t>
      </w:r>
      <w:r>
        <w:rPr>
          <w:rFonts w:ascii="Arial" w:cs="Arial" w:eastAsia="Arial" w:hAnsi="Arial"/>
          <w:sz w:val="18"/>
          <w:szCs w:val="18"/>
          <w:color w:val="242424"/>
        </w:rPr>
        <w:t xml:space="preserve">2021 </w:t>
      </w:r>
      <w:r>
        <w:rPr>
          <w:rFonts w:ascii="Arial" w:cs="Arial" w:eastAsia="Arial" w:hAnsi="Arial"/>
          <w:sz w:val="18"/>
          <w:szCs w:val="18"/>
          <w:color w:val="000000"/>
        </w:rPr>
        <w:t>and increased software and licensing costs related to the overall growth of the Company.</w:t>
      </w:r>
    </w:p>
    <w:p>
      <w:pPr>
        <w:spacing w:after="0" w:line="3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Other operating expenses decreased $6.9 million as a result of certain unallocated corporate overhead costs incurred in 2020 that were previously allocated to the Aaron's Business segment.</w:t>
      </w:r>
    </w:p>
    <w:p>
      <w:pPr>
        <w:spacing w:after="0" w:line="4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Provision for loan losses decreased $9.0 million due to continued strong customer payment activity during the nine months ended September 30, 2021 and changes to estimates in our allowance for loan losses, partially offset by the establishment of new allowances due to GMV growth. In the nine months ended September 30, 2020, the allowance for loan losses for Vive increased by $9.5 million due to unfavorable forecasted macroeconomic conditions resulting from the COVID-19 pandemic. In the nine months ended September 30, 2021, we released $8.1 million of allowances for loan losses due to forecasted improvements in macroeconomic conditions, resulting in a $17.6 million decline in the allowance for loan losses compared to the nine months ended September 30, 2020. This decline in the allowance was partially offset by the $8.6 million increase in the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2" w:name="page33"/>
    <w:bookmarkEnd w:id="32"/>
    <w:p>
      <w:pPr>
        <w:ind w:right="1800"/>
        <w:spacing w:after="0" w:line="391" w:lineRule="auto"/>
        <w:rPr>
          <w:sz w:val="20"/>
          <w:szCs w:val="20"/>
          <w:color w:val="auto"/>
        </w:rPr>
      </w:pPr>
      <w:r>
        <w:rPr>
          <w:rFonts w:ascii="Arial" w:cs="Arial" w:eastAsia="Arial" w:hAnsi="Arial"/>
          <w:sz w:val="18"/>
          <w:szCs w:val="18"/>
          <w:color w:val="auto"/>
        </w:rPr>
        <w:t xml:space="preserve">provision for loan losses resulting from the 84.8% growth in Vive's GMV compared to the nine months ended September 30, 2020. </w:t>
      </w:r>
      <w:r>
        <w:rPr>
          <w:rFonts w:ascii="Arial" w:cs="Arial" w:eastAsia="Arial" w:hAnsi="Arial"/>
          <w:sz w:val="18"/>
          <w:szCs w:val="18"/>
          <w:b w:val="1"/>
          <w:bCs w:val="1"/>
          <w:i w:val="1"/>
          <w:iCs w:val="1"/>
          <w:color w:val="auto"/>
        </w:rPr>
        <w:t>Other Costs and Expenses</w:t>
      </w:r>
    </w:p>
    <w:p>
      <w:pPr>
        <w:spacing w:after="0" w:line="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i w:val="1"/>
          <w:iCs w:val="1"/>
          <w:color w:val="auto"/>
        </w:rPr>
        <w:t xml:space="preserve">Depreciation of lease merchandise. </w:t>
      </w:r>
      <w:r>
        <w:rPr>
          <w:rFonts w:ascii="Arial" w:cs="Arial" w:eastAsia="Arial" w:hAnsi="Arial"/>
          <w:sz w:val="16"/>
          <w:szCs w:val="16"/>
          <w:color w:val="auto"/>
        </w:rPr>
        <w:t>Depreciation of lease merchandise increased due to growth in Progressive Leasing's portfolio of leased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elevated early lease buyout activity in the nine months ended September 30, 2021 compared to 2020. As a percentage of total lease revenues and fees, depreciation of lease merchandise decreased to 69.4% from 69.7% in 2020, primarily due to strong customer payment activity during the nine months ended September 30, 2021 compared to the same period in 2020, partially offset by the elevated levels of early lease buyouts during the first half of 2021.</w:t>
      </w:r>
    </w:p>
    <w:p>
      <w:pPr>
        <w:spacing w:after="0" w:line="3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Provision for lease merchandise write-offs</w:t>
      </w:r>
      <w:r>
        <w:rPr>
          <w:rFonts w:ascii="Arial" w:cs="Arial" w:eastAsia="Arial" w:hAnsi="Arial"/>
          <w:sz w:val="17"/>
          <w:szCs w:val="17"/>
          <w:color w:val="auto"/>
        </w:rPr>
        <w:t>. The provision for lease merchandise write-offs decreased $20.4 million primarily due to a $33.4 million decline</w:t>
      </w:r>
      <w:r>
        <w:rPr>
          <w:rFonts w:ascii="Arial" w:cs="Arial" w:eastAsia="Arial" w:hAnsi="Arial"/>
          <w:sz w:val="17"/>
          <w:szCs w:val="17"/>
          <w:i w:val="1"/>
          <w:iCs w:val="1"/>
          <w:color w:val="auto"/>
        </w:rPr>
        <w:t xml:space="preserve"> </w:t>
      </w:r>
      <w:r>
        <w:rPr>
          <w:rFonts w:ascii="Arial" w:cs="Arial" w:eastAsia="Arial" w:hAnsi="Arial"/>
          <w:sz w:val="17"/>
          <w:szCs w:val="17"/>
          <w:color w:val="auto"/>
        </w:rPr>
        <w:t>in write-offs, compared to the nine months ended September 30, 2020, as the result of continued strong payment activity from customers, and changes to estimates in our allowance for lease merchandise write-offs. In the nine months ended September 30, 2020, we established incremental lease merchandise allowances of $11.7 million, in response to the COVID-19 pandemic, based on management's best estimate of the potential unfavorable impacts the COVID-19 pandemic may have on our customers' ability to continue making payments on their leases. In the nine months ended September 30, 2021, we continued to experience strong customer payment activity and low write-offs, resulting in a $7.6 million downward adjustment to our incremental COVID-19 allowance for write-offs. Given the significant uncertainty regarding the impacts of the COVID-19 pandemic and its effects on our customers and on our business going forward, a high level of estimation was involved in determining the allowance as of September 30, 2021. Therefore, actual lease merchandise write-offs could differ materially from the allowance.</w:t>
      </w:r>
    </w:p>
    <w:p>
      <w:pPr>
        <w:spacing w:after="0" w:line="5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provision for lease merchandise write-offs as a percentage of lease revenues decreased to 4.2% for the nine months ended September 30, 2021 from 5.6% for the same period in 2020 due to improved customer payment activity, low write-offs, and changes in estimates on the allowance as discussed above.</w:t>
      </w:r>
    </w:p>
    <w:p>
      <w:pPr>
        <w:spacing w:after="0" w:line="4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Separation related charges. </w:t>
      </w:r>
      <w:r>
        <w:rPr>
          <w:rFonts w:ascii="Arial" w:cs="Arial" w:eastAsia="Arial" w:hAnsi="Arial"/>
          <w:sz w:val="18"/>
          <w:szCs w:val="18"/>
          <w:color w:val="auto"/>
        </w:rPr>
        <w:t>The Company incurred $2.4 million of stock-based compensation and retirement costs in the third quarter of 2020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separation of the Aaron's Business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Before Income Taxes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earnings before income taxes by reportable segment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3"/>
          </w:tcPr>
          <w:p>
            <w:pPr>
              <w:jc w:val="right"/>
              <w:ind w:right="713"/>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c>
          <w:tcPr>
            <w:tcW w:w="152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Progressive Leasing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268,128</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232,502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Pr>
          <w:p>
            <w:pPr>
              <w:ind w:left="380"/>
              <w:spacing w:after="0"/>
              <w:rPr>
                <w:sz w:val="20"/>
                <w:szCs w:val="20"/>
                <w:color w:val="auto"/>
              </w:rPr>
            </w:pPr>
            <w:r>
              <w:rPr>
                <w:rFonts w:ascii="Arial" w:cs="Arial" w:eastAsia="Arial" w:hAnsi="Arial"/>
                <w:sz w:val="18"/>
                <w:szCs w:val="18"/>
                <w:color w:val="auto"/>
              </w:rPr>
              <w:t>35,626</w:t>
            </w:r>
          </w:p>
        </w:tc>
        <w:tc>
          <w:tcPr>
            <w:tcW w:w="1000" w:type="dxa"/>
            <w:vAlign w:val="bottom"/>
          </w:tcPr>
          <w:p>
            <w:pPr>
              <w:ind w:left="460"/>
              <w:spacing w:after="0"/>
              <w:rPr>
                <w:sz w:val="20"/>
                <w:szCs w:val="20"/>
                <w:color w:val="auto"/>
              </w:rPr>
            </w:pPr>
            <w:r>
              <w:rPr>
                <w:rFonts w:ascii="Arial" w:cs="Arial" w:eastAsia="Arial" w:hAnsi="Arial"/>
                <w:sz w:val="18"/>
                <w:szCs w:val="18"/>
                <w:color w:val="auto"/>
                <w:w w:val="92"/>
              </w:rPr>
              <w:t>15.3 %</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12,131</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20,004</w:t>
            </w:r>
          </w:p>
        </w:tc>
        <w:tc>
          <w:tcPr>
            <w:tcW w:w="1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(4,912)</w:t>
            </w:r>
          </w:p>
        </w:tc>
        <w:tc>
          <w:tcPr>
            <w:tcW w:w="5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520" w:type="dxa"/>
            <w:vAlign w:val="bottom"/>
          </w:tcPr>
          <w:p>
            <w:pPr>
              <w:ind w:left="400"/>
              <w:spacing w:after="0"/>
              <w:rPr>
                <w:sz w:val="20"/>
                <w:szCs w:val="20"/>
                <w:color w:val="auto"/>
              </w:rPr>
            </w:pPr>
            <w:r>
              <w:rPr>
                <w:rFonts w:ascii="Arial" w:cs="Arial" w:eastAsia="Arial" w:hAnsi="Arial"/>
                <w:sz w:val="18"/>
                <w:szCs w:val="18"/>
                <w:color w:val="auto"/>
              </w:rPr>
              <w:t>(4,912)</w:t>
            </w:r>
          </w:p>
        </w:tc>
        <w:tc>
          <w:tcPr>
            <w:tcW w:w="1000" w:type="dxa"/>
            <w:vAlign w:val="bottom"/>
          </w:tcPr>
          <w:p>
            <w:pPr>
              <w:ind w:left="480"/>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Corporate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(19,392)</w:t>
            </w:r>
          </w:p>
        </w:tc>
        <w:tc>
          <w:tcPr>
            <w:tcW w:w="4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19,392</w:t>
            </w:r>
          </w:p>
        </w:tc>
        <w:tc>
          <w:tcPr>
            <w:tcW w:w="10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Total Earnings Before 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275,347</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205,237</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70,110</w:t>
            </w:r>
          </w:p>
        </w:tc>
        <w:tc>
          <w:tcPr>
            <w:tcW w:w="1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2"/>
              </w:rPr>
              <w:t>34.2 %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nmf—Calculation is not meaningful</w:t>
      </w:r>
    </w:p>
    <w:p>
      <w:pPr>
        <w:spacing w:after="0" w:line="167"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The $4.9 million loss before income taxes within "Other" primarily relates to our Four operations. Unallocated corporate expenses represent certain expenses that had previously been reported within the Aaron's Business segment in 2020 that did not qualify for classification within discontinued operations. Factors impacting the change in earnings before income taxes are discussed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Income tax expense increased to $69.6 million for the nine months ended September 30, 2021 compared to a $13.9 million in the prior year comparable period. The effective tax rate of 6.8% during the nine months ended September 30, 2020 is primarily due to a $34.2 million discrete income tax benefit generated by the provisions of the CARES Act in 2020, which resulted from the rate differential on the carryback of the Company's 2018 net operating loss previously recorded at 21% to the 2013 tax year, where the benefit was recognized at 35%. There are no material adjustments between the Company's effective tax rate of 25.3% for the nine months ended September 30, 2021 and the Company's statutory income tax rate.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Overview of Financial Position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major changes in the condensed consolidated balance sheet from December 31, 2020 to September 30, 2021 include:</w:t>
      </w:r>
    </w:p>
    <w:p>
      <w:pPr>
        <w:spacing w:after="0" w:line="90" w:lineRule="exact"/>
        <w:rPr>
          <w:sz w:val="20"/>
          <w:szCs w:val="20"/>
          <w:color w:val="auto"/>
        </w:rPr>
      </w:pPr>
    </w:p>
    <w:p>
      <w:pPr>
        <w:ind w:left="660" w:right="800" w:hanging="328"/>
        <w:spacing w:after="0" w:line="277" w:lineRule="auto"/>
        <w:tabs>
          <w:tab w:leader="none" w:pos="655"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color w:val="auto"/>
        </w:rPr>
        <w:t>Cash and cash equivalents increased $92.1 million to $128.8 million during the nine months ended September 30, 2021. For additional information, refer to the "Liquidity and Capital Resources" section below.</w:t>
      </w:r>
    </w:p>
    <w:p>
      <w:pPr>
        <w:spacing w:after="0" w:line="48" w:lineRule="exact"/>
        <w:rPr>
          <w:rFonts w:ascii="Arial" w:cs="Arial" w:eastAsia="Arial" w:hAnsi="Arial"/>
          <w:sz w:val="18"/>
          <w:szCs w:val="18"/>
          <w:b w:val="1"/>
          <w:bCs w:val="1"/>
          <w:i w:val="1"/>
          <w:iCs w:val="1"/>
          <w:color w:val="auto"/>
        </w:rPr>
      </w:pPr>
    </w:p>
    <w:p>
      <w:pPr>
        <w:ind w:left="660" w:hanging="328"/>
        <w:spacing w:after="0" w:line="279" w:lineRule="auto"/>
        <w:tabs>
          <w:tab w:leader="none" w:pos="655" w:val="left"/>
        </w:tabs>
        <w:numPr>
          <w:ilvl w:val="0"/>
          <w:numId w:val="20"/>
        </w:numPr>
        <w:rPr>
          <w:rFonts w:ascii="Arial" w:cs="Arial" w:eastAsia="Arial" w:hAnsi="Arial"/>
          <w:sz w:val="17"/>
          <w:szCs w:val="17"/>
          <w:b w:val="1"/>
          <w:bCs w:val="1"/>
          <w:i w:val="1"/>
          <w:iCs w:val="1"/>
          <w:color w:val="242424"/>
        </w:rPr>
      </w:pPr>
      <w:r>
        <w:rPr>
          <w:rFonts w:ascii="Arial" w:cs="Arial" w:eastAsia="Arial" w:hAnsi="Arial"/>
          <w:sz w:val="17"/>
          <w:szCs w:val="17"/>
          <w:color w:val="auto"/>
        </w:rPr>
        <w:t>Lease merchandise, net of accumulated depreciation and allowances, decreased $21.5 million due primarily to elevated early lease buyouts during the nine months ended September 30, 2021, in addition to an increase in the allowance for lease merchandise write-offs resulting from customer payment delinquencies primarily in the third quarter of 2021 trending more towards pre-pandemic rates as compared to the strong customer payment activity and historically low lease merchandise charge-offs we experienced at the end of 2020.</w:t>
      </w:r>
    </w:p>
    <w:p>
      <w:pPr>
        <w:spacing w:after="0" w:line="49" w:lineRule="exact"/>
        <w:rPr>
          <w:rFonts w:ascii="Arial" w:cs="Arial" w:eastAsia="Arial" w:hAnsi="Arial"/>
          <w:sz w:val="17"/>
          <w:szCs w:val="17"/>
          <w:b w:val="1"/>
          <w:bCs w:val="1"/>
          <w:i w:val="1"/>
          <w:iCs w:val="1"/>
          <w:color w:val="242424"/>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Loans receivable, net of allowances and unamortized fees, increased $33.6 million due to growth in loan originations with Vive's POS partners.</w:t>
      </w:r>
    </w:p>
    <w:p>
      <w:pPr>
        <w:spacing w:after="0" w:line="113" w:lineRule="exact"/>
        <w:rPr>
          <w:rFonts w:ascii="Arial" w:cs="Arial" w:eastAsia="Arial" w:hAnsi="Arial"/>
          <w:sz w:val="16"/>
          <w:szCs w:val="16"/>
          <w:color w:val="auto"/>
        </w:rPr>
      </w:pPr>
    </w:p>
    <w:p>
      <w:pPr>
        <w:ind w:left="660" w:right="50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Goodwill increased $17.8 million as a result of the Company's acquisition of Four Technologies, Inc. on June 25, 2021. Refer to Note 3 for additional information regarding the details of the acquisition and the assets acquired.</w:t>
      </w:r>
    </w:p>
    <w:p>
      <w:pPr>
        <w:spacing w:after="0" w:line="48"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Income tax receivable increased $18.9 million as a result of the Company's conclusion in the third quarter of 2021 that Progressive Leasing's $175.0 million settlement payment to the Federal Trade Commission ("FTC") in 2020 is deductible.</w:t>
      </w:r>
    </w:p>
    <w:p>
      <w:pPr>
        <w:spacing w:after="0" w:line="48" w:lineRule="exact"/>
        <w:rPr>
          <w:rFonts w:ascii="Arial" w:cs="Arial" w:eastAsia="Arial" w:hAnsi="Arial"/>
          <w:sz w:val="18"/>
          <w:szCs w:val="18"/>
          <w:color w:val="auto"/>
        </w:rPr>
      </w:pPr>
    </w:p>
    <w:p>
      <w:pPr>
        <w:ind w:left="660" w:right="100" w:hanging="328"/>
        <w:spacing w:after="0" w:line="275" w:lineRule="auto"/>
        <w:tabs>
          <w:tab w:leader="none" w:pos="655" w:val="left"/>
        </w:tabs>
        <w:numPr>
          <w:ilvl w:val="0"/>
          <w:numId w:val="20"/>
        </w:numPr>
        <w:rPr>
          <w:rFonts w:ascii="Arial" w:cs="Arial" w:eastAsia="Arial" w:hAnsi="Arial"/>
          <w:sz w:val="17"/>
          <w:szCs w:val="17"/>
          <w:b w:val="1"/>
          <w:bCs w:val="1"/>
          <w:i w:val="1"/>
          <w:iCs w:val="1"/>
          <w:color w:val="242424"/>
        </w:rPr>
      </w:pPr>
      <w:r>
        <w:rPr>
          <w:rFonts w:ascii="Arial" w:cs="Arial" w:eastAsia="Arial" w:hAnsi="Arial"/>
          <w:sz w:val="17"/>
          <w:szCs w:val="17"/>
          <w:color w:val="auto"/>
        </w:rPr>
        <w:t>Accounts payable and accrued expenses increased $38.6 million primarily due to a $46.1 million increase in uncertain tax positions, which was partially offset by an $18.2 million decrease in income taxes payable. Both of these changes resulted from the Company's conclusion in the third quarter of 2021 that Progressive Leasing's $175.0 million settlement payment to the FTC in 2020 is deductible but results in an uncertain tax position. Other increases in accrued expenses included accrued salaries and benefits and other accrued expenses and liabilities, which increased $5.7 million and $4.7 million, respectively, from December 31, 2020.</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34" w:name="page35"/>
    <w:bookmarkEnd w:id="34"/>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primary capital requirements will consist of:</w:t>
      </w:r>
    </w:p>
    <w:p>
      <w:pPr>
        <w:spacing w:after="0" w:line="90" w:lineRule="exact"/>
        <w:rPr>
          <w:sz w:val="20"/>
          <w:szCs w:val="20"/>
          <w:color w:val="auto"/>
        </w:rPr>
      </w:pPr>
    </w:p>
    <w:p>
      <w:pPr>
        <w:ind w:left="660" w:right="320" w:hanging="328"/>
        <w:spacing w:after="0" w:line="308"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Reinvesting in our business, including buying merchandise for the operations of Progressive Leasing. Because we believe Progressive Leasing will continue to grow, we expect that the need for additional lease merchandise will remain a major capital requirement;</w:t>
      </w:r>
    </w:p>
    <w:p>
      <w:pPr>
        <w:spacing w:after="0" w:line="24"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Making merger and acquisition investment(s) to further broaden our product offerings;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Returning excess cash to shareholders through periodically repurchasing stock.</w:t>
      </w:r>
    </w:p>
    <w:p>
      <w:pPr>
        <w:spacing w:after="0" w:line="9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Other capital requirements include (i) expenditures related to software development; (ii) expenditures related to our corporate operating activities; (iii) personnel expenditures; (iv) income tax payments; (v) funding of loans receivable for Vive; and (vi) servicing our outstanding debt obligation.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capital requirements have been financed through:</w:t>
      </w:r>
    </w:p>
    <w:p>
      <w:pPr>
        <w:spacing w:after="0" w:line="10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flows from operations;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private debt offerings;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bank debt;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 offerings.</w:t>
      </w:r>
    </w:p>
    <w:p>
      <w:pPr>
        <w:spacing w:after="0" w:line="9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As of September 30, 2021, the Company had $128.8 million of cash, $50.0 million outstanding on our Revolving Facility, and $300.0 million of availability under the Revolving Facility.</w:t>
      </w:r>
    </w:p>
    <w:p>
      <w:pPr>
        <w:spacing w:after="0" w:line="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cash flow statement for the nine months ended September 30, 2020 was not required to be adjusted for discontinued operations. Accordingly, the cash flow activities for the Aaron's Business discontinued operations is included in the below discussion and analysis for the nine months ended September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Cash provided by operating activities was $294.9 million and $551.8 million during the nine months ended September 30, 2021 and 2020, respectively. The $256.9 million decrease in operating cash flows was primarily due to the separation of the Aaron's Business, which accounted for $281.7 million of the cash provided by operating activities during the nine months ended September 30, 2020. The $24.8 million increase in cash provided by operating activities from continuing operations when compared to the same period in 2020 was driven by the $175.0 million payment of Progressive Leasing's settlement with the FTC in the second quarter of 2020. This increase in cash provided by operating activities from continuing operations was offset by $172.1 million of additional purchases of lease merchandise by Progressive Leasing. Changes in certain working capital accounts also contributed to operating cash inflows compared to 2020, including $24.2 million related to the change in accounts receivable. Other changes in cash provided by operating activities are discussed above in our discussion of results for the nine months ended September 30,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9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Cash used in investing activities was $72.5 million and $72.6 million during the nine months ended September 30, 2021 and 2020, respectively. The cash used in investing activities during the nine months ended September 30, 2020 included $44.4 million in cash outflows related to the separation of the Aaron's Business. The $44.3 million increase in cash used in investing activities from continuing operations when compared to the same period in 2020 was primarily due to a $66.8 million increase in cash outflows for investments in Vive loans receivable due to growth in loan origination activity, and the $22.9 million cash paid, net of cash acquired, for the acquisition of Four in June 2021. These increases were partially offset by a $47.0 million increase in proceeds on loans receivable driven by strong customer payment activity and growth in the portfolio in the nine months ended September 30, 2021 compared to the same period of 2020.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Financing Activities</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used in financing activities was $130.2 million during the nine months ended September 30, 2021 compared to $66.8 million during the same period in 2020. Cash used in financing activities in 2020 was primarily due to $61.5 million of cash outflows for the repayment of debt and $8.0 million paid in dividends. The Company repurchased common stock totaling $128.2 million during the nine months ended September 30, 2021 compared to no repurchases in the same period of 2020.</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0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purchase our stock in the market from time to time as authorized by our Board of Directors. On February 22, 2021, the Company's Board of Directors terminated the share repurchase program that was in effect as of December 31, 2020 and replaced it with a new repurchase program that permits the Company to repurchase up to $300.0 million of the Company's outstanding common stock. The Company repurchased 2,623,494 shares for $128.2 million during the nine months ended September 30, 2021. As of September 30, 2021, we had the authority to purchase additional shares up to our remaining authorization limit of $171.8 million. On November 3, 2021, the Company announced a new $1 billion share repurchase program authorized by the Company's Board of Directors. The authorization replaces the Company's existing $300 million repurchase program.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w:t>
      </w:r>
    </w:p>
    <w:p>
      <w:pPr>
        <w:spacing w:after="0" w:line="9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November 24, 2020, the Company entered into a credit agreement with a consortium of lenders providing for a $350.0 million senior unsecured revolving credit facility, under which revolving borrowings became available on the date of the completion of the separation and distribution transaction, and under which all borrowings and commitments will mature or terminate on November 24, 2025.</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September 30, 2021, $50.0 million was outstanding under the Revolving Facility and the total available credit under the Revolving Facility was $300.0 million. The Revolving Facility includes an uncommitted incremental facility increase option ("Incremental Facilities") which, subject to certain terms and conditions, permits the Company at any time prior to the maturity date to request an increase in extensions of credit available thereunder by an aggregate additional principal amount of up to $300.0 million.</w:t>
      </w:r>
    </w:p>
    <w:p>
      <w:pPr>
        <w:spacing w:after="0" w:line="6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Revolving Facility contains certain financial covenants, which include requirements that the Company maintain ratios of (i) total net debt to EBITDA of no more than 2.50:1.00 and (ii) consolidated interest coverage of no less than 3.00:1.00. The Company will be in default under the credit agreement if it fails to comply with these covenants, and all borrowings outstanding could become due immediately. We are in compliance with these financial covenants at September 30, 2021 and believe that we will continue to be in compliance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During the nine months ended September 30, 2021, we made net tax payments of $44.0 million. Within the next three months, we anticipate making estimated tax payments of $8.6 million for U.S. federal income taxes and state income taxes.</w:t>
      </w:r>
    </w:p>
    <w:p>
      <w:pPr>
        <w:spacing w:after="0" w:line="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Deferred income tax liabilities as of September 30, 2021 were $145.2 million</w:t>
      </w:r>
      <w:r>
        <w:rPr>
          <w:rFonts w:ascii="Arial" w:cs="Arial" w:eastAsia="Arial" w:hAnsi="Arial"/>
          <w:sz w:val="18"/>
          <w:szCs w:val="18"/>
          <w:color w:val="EE2724"/>
        </w:rPr>
        <w:t>.</w:t>
      </w:r>
      <w:r>
        <w:rPr>
          <w:rFonts w:ascii="Arial" w:cs="Arial" w:eastAsia="Arial" w:hAnsi="Arial"/>
          <w:sz w:val="18"/>
          <w:szCs w:val="18"/>
          <w:color w:val="auto"/>
        </w:rPr>
        <w:t xml:space="preserve"> Deferred income tax liabilities are calculated based on temporary differences between the tax basis of assets and liabilities and their respective book basis, which will result in taxable amounts in future years when the liabilities are settled at their reported financial statement amounts. The results of these calculations do not have a direct connection with the amount of cash taxes to be paid in any future periods. As a result, scheduling deferred income tax liabilities as payments due by period could be misleading because this scheduling would not necessarily relate to liquidity needs.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lease management and information technology space for corporate functions as well as call center space and storage space for our hub facilities under operating leases expiring at various times through 2027. Our corporate and call center leases contain renewal options for additional periods ranging from three to five years. We also lease transportation vehicles under operating leases which generally expire during the next three years. We expect that most leases will be renewed or replaced by other leases in the normal course of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Future interest payments on the Company's variable-rate debt are based on a rate per annum equal to, at our option, (i) the London Interbank Overnight ("LIBO") rate plus a margin within the range of 1.5% to 2.5% for revolving loans, based on total leverage, or the administrative agent's base rate plus a margin ranging from 0.5% to 1.5%, as specified in the agreement. Future interest payments related to our Revolving Facility are based on the borrowings outstanding at that time. The variable rate for our borrowings under the Revolving Facility was 1.625% at September 30, 2021. Future interest payments may be different depending on future borrowing activity and interest rates.</w:t>
      </w:r>
    </w:p>
    <w:p>
      <w:pPr>
        <w:spacing w:after="0" w:line="5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has no long-term commitments to purchase merchandise nor does it have significant purchase agreements that specify minimum quantities or set prices that exceed our expected requirements for three months.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6" w:name="page37"/>
    <w:bookmarkEnd w:id="36"/>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Lending Commitments</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through its Vive business, has unconditionally cancellable unfunded lending commitments totaling approximately $434.1 million and $287.3 million as of September 30, 2021 and December 31, 2020,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represented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Refer to the 2020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Refer to Note 1 to the condensed consolidated financial statements for a discussion of recently issued accounting pronouncements, including pronouncements that were adopted in the current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of September 30, 2021, we had $50.0 million outstanding under our Revolving Facility. Borrowings under the Revolving Facility are indexed to the LIBO rate or the prime rate, which exposes us to the risk of increased interest costs if interest rates rise. Based on the Company’s variable-rate debt outstanding as of September 30, 2021, a hypothetical 1.0% increase or decrease in interest rates would increase or decrease interest expense by approximately $0.5 million on an annualized basis.</w:t>
      </w:r>
    </w:p>
    <w:p>
      <w:pPr>
        <w:spacing w:after="0" w:line="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do not use any significant market risk sensitive instruments to hedge commodity, foreign currency or other risks, and hold no market risk sensitive instruments for trading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An evaluation of the Company’s disclosure controls and procedures, as defined in Rule 13a-15(e) under the Securities Exchange Act of 1934, as amended, was carried out by management, with the participation of the Chief Executive Officer ("CEO") and Chief Financial Officer ("CFO"), as of the end of the period covered by this Quarterly Report on Form 10-Q.</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evaluation is performed to determine if our disclosure controls and procedures are effective to provide reasonable assurance that information required to be disclosed by the Company in the reports that it files or submits under the Securities Exchange Act of 1934, as amended, is accumulated and communicated to management, including our CEO and CFO, as appropriate, to allow timely decisions regarding required disclosures and are effective to provide reasonable assurance that such information is recorded, processed, summarized and reported within the time periods specified by the SEC’s rules and forms. No system of controls, no matter how well designed and operated, can provide absolute assurance that the objectives of the system of controls are met, and no evaluation of controls can provide absolute assurance that the system of controls has operated effectively in all cases. Our disclosure controls and procedures, however, are designed to provide reasonable assurance that the objectives of disclosure controls and procedures are met.</w:t>
      </w:r>
    </w:p>
    <w:p>
      <w:pPr>
        <w:spacing w:after="0" w:line="4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management’s evaluation, the CEO and CFO concluded that the Company’s disclosure controls and procedures were effective as of the date of the evaluation to provide reasonable assurance that the objectives of disclosure controls and procedures are met.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under the Securities Exchange Act of 1934, during the nine months ended September 30,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8" w:name="page39"/>
    <w:bookmarkEnd w:id="38"/>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From time to time, we are party to various legal proceedings arising in the ordinary course of business. While any proceeding contains an element of uncertainty, we do not currently believe that any of the outstanding legal proceedings to which we are a party will have a material adverse impact on our business, financial position or results of operations. However, an adverse resolution of a number of these items may have a material adverse impact on our business, financial position or results of operations. For further information, see Note 6 in the accompanying condensed consolidated financial statements under the heading "Legal and Regulatory Proceedings," which discussion is incorporated by reference in response to this Item 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updates to its risk factors disclosure from that previously reported in the 2020 Annual Report.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share repurchase activity for the three months ended September 30, 2021:</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Total Number of Shares</w:t>
            </w:r>
          </w:p>
        </w:tc>
        <w:tc>
          <w:tcPr>
            <w:tcW w:w="182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Maximum Dollar Value of</w:t>
            </w: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2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 of Shares</w:t>
            </w: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Average Price Paid</w:t>
            </w:r>
          </w:p>
        </w:tc>
        <w:tc>
          <w:tcPr>
            <w:tcW w:w="2100" w:type="dxa"/>
            <w:vAlign w:val="bottom"/>
            <w:vMerge w:val="continue"/>
          </w:tcPr>
          <w:p>
            <w:pPr>
              <w:spacing w:after="0"/>
              <w:rPr>
                <w:sz w:val="11"/>
                <w:szCs w:val="11"/>
                <w:color w:val="auto"/>
              </w:rPr>
            </w:pPr>
          </w:p>
        </w:tc>
        <w:tc>
          <w:tcPr>
            <w:tcW w:w="182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5"/>
        </w:trPr>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04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39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4"/>
              </w:rPr>
              <w:t>Purchased as Part of Publicly  Purchased Under the Plans or</w:t>
            </w:r>
          </w:p>
        </w:tc>
        <w:tc>
          <w:tcPr>
            <w:tcW w:w="0" w:type="dxa"/>
            <w:vAlign w:val="bottom"/>
          </w:tcPr>
          <w:p>
            <w:pPr>
              <w:spacing w:after="0"/>
              <w:rPr>
                <w:sz w:val="1"/>
                <w:szCs w:val="1"/>
                <w:color w:val="auto"/>
              </w:rPr>
            </w:pPr>
          </w:p>
        </w:tc>
      </w:tr>
      <w:tr>
        <w:trPr>
          <w:trHeight w:val="189"/>
        </w:trPr>
        <w:tc>
          <w:tcPr>
            <w:tcW w:w="398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Purchased</w:t>
            </w:r>
          </w:p>
        </w:tc>
        <w:tc>
          <w:tcPr>
            <w:tcW w:w="12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per Share</w:t>
            </w:r>
          </w:p>
        </w:tc>
        <w:tc>
          <w:tcPr>
            <w:tcW w:w="21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2"/>
              </w:rPr>
              <w:t>Announced Plans or Programs</w:t>
            </w:r>
          </w:p>
        </w:tc>
        <w:tc>
          <w:tcPr>
            <w:tcW w:w="1820" w:type="dxa"/>
            <w:vAlign w:val="bottom"/>
            <w:tcBorders>
              <w:bottom w:val="single" w:sz="8" w:color="auto"/>
            </w:tcBorders>
          </w:tcPr>
          <w:p>
            <w:pPr>
              <w:jc w:val="center"/>
              <w:ind w:right="59"/>
              <w:spacing w:after="0" w:line="189" w:lineRule="exact"/>
              <w:rPr>
                <w:sz w:val="20"/>
                <w:szCs w:val="20"/>
                <w:color w:val="auto"/>
              </w:rPr>
            </w:pPr>
            <w:r>
              <w:rPr>
                <w:rFonts w:ascii="Arial" w:cs="Arial" w:eastAsia="Arial" w:hAnsi="Arial"/>
                <w:sz w:val="14"/>
                <w:szCs w:val="14"/>
                <w:b w:val="1"/>
                <w:bCs w:val="1"/>
                <w:color w:val="auto"/>
                <w:w w:val="89"/>
              </w:rPr>
              <w:t xml:space="preserve">Programs </w:t>
            </w:r>
            <w:r>
              <w:rPr>
                <w:rFonts w:ascii="Arial" w:cs="Arial" w:eastAsia="Arial" w:hAnsi="Arial"/>
                <w:sz w:val="18"/>
                <w:szCs w:val="18"/>
                <w:b w:val="1"/>
                <w:bCs w:val="1"/>
                <w:color w:val="auto"/>
                <w:w w:val="89"/>
                <w:vertAlign w:val="superscript"/>
              </w:rPr>
              <w:t>1</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2021 through July 31, 2021</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222,803,554</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August 1, 2021 through August 31, 2021</w:t>
            </w:r>
          </w:p>
        </w:tc>
        <w:tc>
          <w:tcPr>
            <w:tcW w:w="2040" w:type="dxa"/>
            <w:vAlign w:val="bottom"/>
          </w:tcPr>
          <w:p>
            <w:pPr>
              <w:jc w:val="right"/>
              <w:spacing w:after="0"/>
              <w:rPr>
                <w:sz w:val="20"/>
                <w:szCs w:val="20"/>
                <w:color w:val="auto"/>
              </w:rPr>
            </w:pPr>
            <w:r>
              <w:rPr>
                <w:rFonts w:ascii="Arial" w:cs="Arial" w:eastAsia="Arial" w:hAnsi="Arial"/>
                <w:sz w:val="18"/>
                <w:szCs w:val="18"/>
                <w:color w:val="auto"/>
              </w:rPr>
              <w:t>973,459</w:t>
            </w:r>
          </w:p>
        </w:tc>
        <w:tc>
          <w:tcPr>
            <w:tcW w:w="1260" w:type="dxa"/>
            <w:vAlign w:val="bottom"/>
          </w:tcPr>
          <w:p>
            <w:pPr>
              <w:jc w:val="right"/>
              <w:spacing w:after="0"/>
              <w:rPr>
                <w:sz w:val="20"/>
                <w:szCs w:val="20"/>
                <w:color w:val="auto"/>
              </w:rPr>
            </w:pPr>
            <w:r>
              <w:rPr>
                <w:rFonts w:ascii="Arial" w:cs="Arial" w:eastAsia="Arial" w:hAnsi="Arial"/>
                <w:sz w:val="18"/>
                <w:szCs w:val="18"/>
                <w:color w:val="auto"/>
              </w:rPr>
              <w:t>45.09</w:t>
            </w:r>
          </w:p>
        </w:tc>
        <w:tc>
          <w:tcPr>
            <w:tcW w:w="2100" w:type="dxa"/>
            <w:vAlign w:val="bottom"/>
          </w:tcPr>
          <w:p>
            <w:pPr>
              <w:jc w:val="right"/>
              <w:ind w:right="138"/>
              <w:spacing w:after="0"/>
              <w:rPr>
                <w:sz w:val="20"/>
                <w:szCs w:val="20"/>
                <w:color w:val="auto"/>
              </w:rPr>
            </w:pPr>
            <w:r>
              <w:rPr>
                <w:rFonts w:ascii="Arial" w:cs="Arial" w:eastAsia="Arial" w:hAnsi="Arial"/>
                <w:sz w:val="18"/>
                <w:szCs w:val="18"/>
                <w:color w:val="auto"/>
              </w:rPr>
              <w:t>973,459</w:t>
            </w:r>
          </w:p>
        </w:tc>
        <w:tc>
          <w:tcPr>
            <w:tcW w:w="1820" w:type="dxa"/>
            <w:vAlign w:val="bottom"/>
          </w:tcPr>
          <w:p>
            <w:pPr>
              <w:jc w:val="right"/>
              <w:spacing w:after="0"/>
              <w:rPr>
                <w:sz w:val="20"/>
                <w:szCs w:val="20"/>
                <w:color w:val="auto"/>
              </w:rPr>
            </w:pPr>
            <w:r>
              <w:rPr>
                <w:rFonts w:ascii="Arial" w:cs="Arial" w:eastAsia="Arial" w:hAnsi="Arial"/>
                <w:sz w:val="18"/>
                <w:szCs w:val="18"/>
                <w:color w:val="auto"/>
              </w:rPr>
              <w:t>178,909,402</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1, 2021 through September 30, 2021</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2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150,000</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171,767,077</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1,123,459</w:t>
            </w:r>
          </w:p>
        </w:tc>
        <w:tc>
          <w:tcPr>
            <w:tcW w:w="1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1,123,459</w:t>
            </w:r>
          </w:p>
        </w:tc>
        <w:tc>
          <w:tcPr>
            <w:tcW w:w="1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firstLine="8"/>
        <w:spacing w:after="0" w:line="273" w:lineRule="auto"/>
        <w:tabs>
          <w:tab w:leader="none" w:pos="88"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Share repurchases are conducted under authorizations made from time to time by the Company’s Board of Directors. The authorization effective February 22, 2021, provided the Company with the ability to repurchase shares up to a maximum amount of $300 million. Subject to the terms of the Board's authorization and applicable law, repurchases may be made at such times and in such amounts as the Company deems appropriate. Repurchases may be discontinued at any time.</w:t>
      </w:r>
    </w:p>
    <w:p>
      <w:pPr>
        <w:spacing w:after="0" w:line="12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On November 3, 2021, the Company announced a new $1 billion share repurchase program authorized by the Company's Board of Directors. The authorization replaces the Company's existing $300 million repurchase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980" w:type="dxa"/>
            <w:vAlign w:val="bottom"/>
          </w:tcPr>
          <w:p>
            <w:pPr>
              <w:jc w:val="center"/>
              <w:ind w:right="213"/>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9640" w:type="dxa"/>
            <w:vAlign w:val="bottom"/>
            <w:gridSpan w:val="4"/>
            <w:vMerge w:val="restart"/>
          </w:tcPr>
          <w:p>
            <w:pPr>
              <w:ind w:left="36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980" w:type="dxa"/>
            <w:vAlign w:val="bottom"/>
          </w:tcPr>
          <w:p>
            <w:pPr>
              <w:jc w:val="center"/>
              <w:ind w:right="213"/>
              <w:spacing w:after="0"/>
              <w:rPr>
                <w:sz w:val="20"/>
                <w:szCs w:val="20"/>
                <w:color w:val="auto"/>
              </w:rPr>
            </w:pPr>
            <w:r>
              <w:rPr>
                <w:rFonts w:ascii="Arial" w:cs="Arial" w:eastAsia="Arial" w:hAnsi="Arial"/>
                <w:sz w:val="14"/>
                <w:szCs w:val="14"/>
                <w:b w:val="1"/>
                <w:bCs w:val="1"/>
                <w:color w:val="auto"/>
                <w:w w:val="96"/>
              </w:rPr>
              <w:t>NO.</w:t>
            </w:r>
          </w:p>
        </w:tc>
        <w:tc>
          <w:tcPr>
            <w:tcW w:w="400" w:type="dxa"/>
            <w:vAlign w:val="bottom"/>
          </w:tcPr>
          <w:p>
            <w:pPr>
              <w:spacing w:after="0"/>
              <w:rPr>
                <w:sz w:val="16"/>
                <w:szCs w:val="16"/>
                <w:color w:val="auto"/>
              </w:rPr>
            </w:pPr>
          </w:p>
        </w:tc>
        <w:tc>
          <w:tcPr>
            <w:tcW w:w="96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5"/>
              </w:rPr>
              <w:t>31.1*</w:t>
            </w:r>
          </w:p>
        </w:tc>
        <w:tc>
          <w:tcPr>
            <w:tcW w:w="10040" w:type="dxa"/>
            <w:vAlign w:val="bottom"/>
            <w:gridSpan w:val="5"/>
          </w:tcPr>
          <w:p>
            <w:pPr>
              <w:spacing w:after="0"/>
              <w:rPr>
                <w:rFonts w:ascii="Arial" w:cs="Arial" w:eastAsia="Arial" w:hAnsi="Arial"/>
                <w:sz w:val="18"/>
                <w:szCs w:val="18"/>
                <w:color w:val="0000FF"/>
                <w:w w:val="95"/>
              </w:rPr>
            </w:pPr>
            <w:hyperlink w:anchor="page42">
              <w:r>
                <w:rPr>
                  <w:rFonts w:ascii="Arial" w:cs="Arial" w:eastAsia="Arial" w:hAnsi="Arial"/>
                  <w:sz w:val="18"/>
                  <w:szCs w:val="18"/>
                  <w:color w:val="0000FF"/>
                  <w:w w:val="95"/>
                </w:rPr>
                <w:t>Certification of Chief Executive Officer pursuant to Rule 13a-14(a) and Rule 15d-14(a) of the Securities Exchange Act, as amended.</w:t>
              </w:r>
            </w:hyperlink>
          </w:p>
        </w:tc>
        <w:tc>
          <w:tcPr>
            <w:tcW w:w="0" w:type="dxa"/>
            <w:vAlign w:val="bottom"/>
          </w:tcPr>
          <w:p>
            <w:pPr>
              <w:spacing w:after="0"/>
              <w:rPr>
                <w:sz w:val="1"/>
                <w:szCs w:val="1"/>
                <w:color w:val="auto"/>
              </w:rPr>
            </w:pPr>
          </w:p>
        </w:tc>
      </w:tr>
      <w:tr>
        <w:trPr>
          <w:trHeight w:val="26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5"/>
              </w:rPr>
              <w:t>31.2*</w:t>
            </w:r>
          </w:p>
        </w:tc>
        <w:tc>
          <w:tcPr>
            <w:tcW w:w="95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Certification of Chief Financial Officer pursuant to Rule 13a-14(a) and Rule 15d-14(a) of the Securities Exchange Act, as amended.</w:t>
              </w:r>
            </w:hyperlink>
          </w:p>
        </w:tc>
        <w:tc>
          <w:tcPr>
            <w:tcW w:w="40" w:type="dxa"/>
            <w:vAlign w:val="bottom"/>
            <w:tcBorders>
              <w:top w:val="single" w:sz="8" w:color="0000FF"/>
            </w:tcBorders>
          </w:tcPr>
          <w:p>
            <w:pPr>
              <w:spacing w:after="0"/>
              <w:rPr>
                <w:sz w:val="22"/>
                <w:szCs w:val="22"/>
                <w:color w:val="auto"/>
              </w:rPr>
            </w:pPr>
          </w:p>
        </w:tc>
        <w:tc>
          <w:tcPr>
            <w:tcW w:w="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5"/>
              </w:rPr>
              <w:t>32.1*</w:t>
            </w:r>
          </w:p>
        </w:tc>
        <w:tc>
          <w:tcPr>
            <w:tcW w:w="10040" w:type="dxa"/>
            <w:vAlign w:val="bottom"/>
            <w:gridSpan w:val="5"/>
          </w:tcPr>
          <w:p>
            <w:pPr>
              <w:spacing w:after="0"/>
              <w:rPr>
                <w:rFonts w:ascii="Arial" w:cs="Arial" w:eastAsia="Arial" w:hAnsi="Arial"/>
                <w:sz w:val="18"/>
                <w:szCs w:val="18"/>
                <w:color w:val="0000FF"/>
                <w:w w:val="94"/>
              </w:rPr>
            </w:pPr>
            <w:hyperlink w:anchor="page44">
              <w:r>
                <w:rPr>
                  <w:rFonts w:ascii="Arial" w:cs="Arial" w:eastAsia="Arial" w:hAnsi="Arial"/>
                  <w:sz w:val="18"/>
                  <w:szCs w:val="18"/>
                  <w:color w:val="0000FF"/>
                  <w:w w:val="94"/>
                </w:rPr>
                <w:t>Certification of Chief Executive Officer pursuant to 18 U.S.C. 1350, as adopted pursuant to Section 906 of the Sarbanes-Oxley Act of</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44">
              <w:r>
                <w:rPr>
                  <w:rFonts w:ascii="Arial" w:cs="Arial" w:eastAsia="Arial" w:hAnsi="Arial"/>
                  <w:sz w:val="18"/>
                  <w:szCs w:val="18"/>
                  <w:color w:val="0000FF"/>
                  <w:w w:val="84"/>
                </w:rPr>
                <w:t>2002.</w:t>
              </w:r>
            </w:hyperlink>
          </w:p>
        </w:tc>
        <w:tc>
          <w:tcPr>
            <w:tcW w:w="9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5"/>
              </w:rPr>
              <w:t>32.2*</w:t>
            </w:r>
          </w:p>
        </w:tc>
        <w:tc>
          <w:tcPr>
            <w:tcW w:w="1004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Certification of Chief Financial Officer pursuant to 18 U.S.C. 1350, as adopted pursuant to Section 906 of the Sarbanes-Oxley Act of 2002.</w:t>
              </w:r>
            </w:hyperlink>
          </w:p>
        </w:tc>
        <w:tc>
          <w:tcPr>
            <w:tcW w:w="0" w:type="dxa"/>
            <w:vAlign w:val="bottom"/>
          </w:tcPr>
          <w:p>
            <w:pPr>
              <w:spacing w:after="0"/>
              <w:rPr>
                <w:sz w:val="1"/>
                <w:szCs w:val="1"/>
                <w:color w:val="auto"/>
              </w:rPr>
            </w:pPr>
          </w:p>
        </w:tc>
      </w:tr>
      <w:tr>
        <w:trPr>
          <w:trHeight w:val="250"/>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2"/>
              </w:rPr>
              <w:t>101.INS</w:t>
            </w:r>
          </w:p>
        </w:tc>
        <w:tc>
          <w:tcPr>
            <w:tcW w:w="10040" w:type="dxa"/>
            <w:vAlign w:val="bottom"/>
            <w:gridSpan w:val="5"/>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40" w:type="dxa"/>
            <w:vAlign w:val="bottom"/>
            <w:gridSpan w:val="5"/>
          </w:tcPr>
          <w:p>
            <w:pPr>
              <w:spacing w:after="0"/>
              <w:rPr>
                <w:sz w:val="20"/>
                <w:szCs w:val="20"/>
                <w:color w:val="auto"/>
              </w:rPr>
            </w:pPr>
            <w:r>
              <w:rPr>
                <w:rFonts w:ascii="Arial" w:cs="Arial" w:eastAsia="Arial" w:hAnsi="Arial"/>
                <w:sz w:val="18"/>
                <w:szCs w:val="18"/>
                <w:color w:val="auto"/>
              </w:rPr>
              <w:t>the inline XBRL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3"/>
              </w:rPr>
              <w:t>101.SCH</w:t>
            </w:r>
          </w:p>
        </w:tc>
        <w:tc>
          <w:tcPr>
            <w:tcW w:w="1004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4"/>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7"/>
              </w:rPr>
              <w:t>101.CAL</w:t>
            </w:r>
          </w:p>
        </w:tc>
        <w:tc>
          <w:tcPr>
            <w:tcW w:w="1004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0"/>
              </w:rPr>
              <w:t>101.DEF</w:t>
            </w:r>
          </w:p>
        </w:tc>
        <w:tc>
          <w:tcPr>
            <w:tcW w:w="1004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8"/>
              </w:rPr>
              <w:t>101.LAB</w:t>
            </w:r>
          </w:p>
        </w:tc>
        <w:tc>
          <w:tcPr>
            <w:tcW w:w="10040" w:type="dxa"/>
            <w:vAlign w:val="bottom"/>
            <w:gridSpan w:val="5"/>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88"/>
              </w:rPr>
              <w:t>101.PRE</w:t>
            </w:r>
          </w:p>
        </w:tc>
        <w:tc>
          <w:tcPr>
            <w:tcW w:w="1004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160" w:right="160" w:hanging="774"/>
        <w:spacing w:after="0" w:line="235"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 the quarter ended September 30, 2021, formatted in Inline XBRL (included in Exhibit 101)</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spacing w:after="0" w:line="153"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960" w:type="dxa"/>
            <w:vAlign w:val="bottom"/>
            <w:gridSpan w:val="2"/>
          </w:tcPr>
          <w:p>
            <w:pPr>
              <w:ind w:left="1920"/>
              <w:spacing w:after="0"/>
              <w:rPr>
                <w:sz w:val="20"/>
                <w:szCs w:val="20"/>
                <w:color w:val="auto"/>
              </w:rPr>
            </w:pPr>
            <w:r>
              <w:rPr>
                <w:rFonts w:ascii="Arial" w:cs="Arial" w:eastAsia="Arial" w:hAnsi="Arial"/>
                <w:sz w:val="18"/>
                <w:szCs w:val="18"/>
                <w:color w:val="auto"/>
              </w:rPr>
              <w:t>PROG Holdings, Inc.</w:t>
            </w:r>
          </w:p>
        </w:tc>
      </w:tr>
      <w:tr>
        <w:trPr>
          <w:trHeight w:val="230"/>
        </w:trPr>
        <w:tc>
          <w:tcPr>
            <w:tcW w:w="5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(Registrant)</w:t>
            </w:r>
          </w:p>
        </w:tc>
      </w:tr>
      <w:tr>
        <w:trPr>
          <w:trHeight w:val="28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220" w:type="dxa"/>
            <w:vAlign w:val="bottom"/>
          </w:tcPr>
          <w:p>
            <w:pPr>
              <w:ind w:left="160"/>
              <w:spacing w:after="0"/>
              <w:rPr>
                <w:sz w:val="20"/>
                <w:szCs w:val="20"/>
                <w:color w:val="auto"/>
              </w:rPr>
            </w:pPr>
            <w:r>
              <w:rPr>
                <w:rFonts w:ascii="Arial" w:cs="Arial" w:eastAsia="Arial" w:hAnsi="Arial"/>
                <w:sz w:val="18"/>
                <w:szCs w:val="18"/>
                <w:color w:val="auto"/>
              </w:rPr>
              <w:t>November 3, 2021</w:t>
            </w:r>
          </w:p>
        </w:tc>
        <w:tc>
          <w:tcPr>
            <w:tcW w:w="2400" w:type="dxa"/>
            <w:vAlign w:val="bottom"/>
          </w:tcPr>
          <w:p>
            <w:pPr>
              <w:ind w:left="1920"/>
              <w:spacing w:after="0"/>
              <w:rPr>
                <w:sz w:val="20"/>
                <w:szCs w:val="20"/>
                <w:color w:val="auto"/>
              </w:rPr>
            </w:pPr>
            <w:r>
              <w:rPr>
                <w:rFonts w:ascii="Arial" w:cs="Arial" w:eastAsia="Arial" w:hAnsi="Arial"/>
                <w:sz w:val="18"/>
                <w:szCs w:val="18"/>
                <w:color w:val="auto"/>
              </w:rPr>
              <w:t>By:</w:t>
            </w: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GARNER</w:t>
            </w:r>
          </w:p>
        </w:tc>
      </w:tr>
      <w:tr>
        <w:trPr>
          <w:trHeight w:val="222"/>
        </w:trPr>
        <w:tc>
          <w:tcPr>
            <w:tcW w:w="5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Brian Garner</w:t>
            </w:r>
          </w:p>
        </w:tc>
      </w:tr>
      <w:tr>
        <w:trPr>
          <w:trHeight w:val="229"/>
        </w:trPr>
        <w:tc>
          <w:tcPr>
            <w:tcW w:w="5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6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220" w:type="dxa"/>
            <w:vAlign w:val="bottom"/>
          </w:tcPr>
          <w:p>
            <w:pPr>
              <w:ind w:left="160"/>
              <w:spacing w:after="0"/>
              <w:rPr>
                <w:sz w:val="20"/>
                <w:szCs w:val="20"/>
                <w:color w:val="auto"/>
              </w:rPr>
            </w:pPr>
            <w:r>
              <w:rPr>
                <w:rFonts w:ascii="Arial" w:cs="Arial" w:eastAsia="Arial" w:hAnsi="Arial"/>
                <w:sz w:val="18"/>
                <w:szCs w:val="18"/>
                <w:color w:val="auto"/>
              </w:rPr>
              <w:t>November 3, 2021</w:t>
            </w:r>
          </w:p>
        </w:tc>
        <w:tc>
          <w:tcPr>
            <w:tcW w:w="2400" w:type="dxa"/>
            <w:vAlign w:val="bottom"/>
          </w:tcPr>
          <w:p>
            <w:pPr>
              <w:ind w:left="1920"/>
              <w:spacing w:after="0"/>
              <w:rPr>
                <w:sz w:val="20"/>
                <w:szCs w:val="20"/>
                <w:color w:val="auto"/>
              </w:rPr>
            </w:pPr>
            <w:r>
              <w:rPr>
                <w:rFonts w:ascii="Arial" w:cs="Arial" w:eastAsia="Arial" w:hAnsi="Arial"/>
                <w:sz w:val="18"/>
                <w:szCs w:val="18"/>
                <w:color w:val="auto"/>
              </w:rPr>
              <w:t>By:</w:t>
            </w: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SEWELL</w:t>
            </w:r>
          </w:p>
        </w:tc>
      </w:tr>
      <w:tr>
        <w:trPr>
          <w:trHeight w:val="222"/>
        </w:trPr>
        <w:tc>
          <w:tcPr>
            <w:tcW w:w="5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Matt Sewell</w:t>
            </w:r>
          </w:p>
        </w:tc>
      </w:tr>
      <w:tr>
        <w:trPr>
          <w:trHeight w:val="229"/>
        </w:trPr>
        <w:tc>
          <w:tcPr>
            <w:tcW w:w="5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Vice President, Financial Reporting</w:t>
            </w:r>
          </w:p>
        </w:tc>
      </w:tr>
      <w:tr>
        <w:trPr>
          <w:trHeight w:val="230"/>
        </w:trPr>
        <w:tc>
          <w:tcPr>
            <w:tcW w:w="5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905"/>
        </w:trPr>
        <w:tc>
          <w:tcPr>
            <w:tcW w:w="5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00" w:type="dxa"/>
            <w:vAlign w:val="bottom"/>
          </w:tcPr>
          <w:p>
            <w:pPr>
              <w:jc w:val="right"/>
              <w:ind w:right="390"/>
              <w:spacing w:after="0"/>
              <w:rPr>
                <w:sz w:val="20"/>
                <w:szCs w:val="20"/>
                <w:color w:val="auto"/>
              </w:rPr>
            </w:pPr>
            <w:r>
              <w:rPr>
                <w:rFonts w:ascii="Arial" w:cs="Arial" w:eastAsia="Arial" w:hAnsi="Arial"/>
                <w:sz w:val="18"/>
                <w:szCs w:val="18"/>
                <w:color w:val="auto"/>
              </w:rPr>
              <w:t>41</w:t>
            </w:r>
          </w:p>
        </w:tc>
        <w:tc>
          <w:tcPr>
            <w:tcW w:w="3560" w:type="dxa"/>
            <w:vAlign w:val="bottom"/>
          </w:tcPr>
          <w:p>
            <w:pPr>
              <w:spacing w:after="0"/>
              <w:rPr>
                <w:sz w:val="24"/>
                <w:szCs w:val="24"/>
                <w:color w:val="auto"/>
              </w:rPr>
            </w:pPr>
          </w:p>
        </w:tc>
      </w:tr>
    </w:tbl>
    <w:p>
      <w:pPr>
        <w:sectPr>
          <w:pgSz w:w="11900" w:h="16838" w:orient="portrait"/>
          <w:cols w:equalWidth="0" w:num="1">
            <w:col w:w="10780"/>
          </w:cols>
          <w:pgMar w:left="320" w:top="1440" w:right="7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CERTIFICATION PURSUANT TO RULE 13a-14(a)/15d-14(a)</w:t>
      </w:r>
    </w:p>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Steven A. Michaels, certify that:</w:t>
      </w:r>
    </w:p>
    <w:p>
      <w:pPr>
        <w:spacing w:after="0" w:line="77" w:lineRule="exact"/>
        <w:rPr>
          <w:sz w:val="20"/>
          <w:szCs w:val="20"/>
          <w:color w:val="auto"/>
        </w:rPr>
      </w:pPr>
    </w:p>
    <w:p>
      <w:pPr>
        <w:ind w:left="440" w:hanging="41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 Holdings, Inc.;</w:t>
      </w:r>
    </w:p>
    <w:p>
      <w:pPr>
        <w:spacing w:after="0" w:line="76" w:lineRule="exact"/>
        <w:rPr>
          <w:rFonts w:ascii="Arial" w:cs="Arial" w:eastAsia="Arial" w:hAnsi="Arial"/>
          <w:sz w:val="18"/>
          <w:szCs w:val="18"/>
          <w:color w:val="auto"/>
        </w:rPr>
      </w:pPr>
    </w:p>
    <w:p>
      <w:pPr>
        <w:jc w:val="both"/>
        <w:ind w:left="440" w:right="1160" w:hanging="414"/>
        <w:spacing w:after="0" w:line="224"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Arial" w:cs="Arial" w:eastAsia="Arial" w:hAnsi="Arial"/>
          <w:sz w:val="18"/>
          <w:szCs w:val="18"/>
          <w:color w:val="auto"/>
        </w:rPr>
      </w:pPr>
    </w:p>
    <w:p>
      <w:pPr>
        <w:ind w:left="440" w:right="1240" w:hanging="414"/>
        <w:spacing w:after="0" w:line="224"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8"/>
          <w:szCs w:val="18"/>
          <w:color w:val="auto"/>
        </w:rPr>
      </w:pPr>
    </w:p>
    <w:p>
      <w:pPr>
        <w:jc w:val="both"/>
        <w:ind w:left="440" w:right="1300" w:hanging="414"/>
        <w:spacing w:after="0" w:line="237" w:lineRule="auto"/>
        <w:tabs>
          <w:tab w:leader="none" w:pos="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7"/>
          <w:szCs w:val="17"/>
          <w:color w:val="auto"/>
        </w:rPr>
      </w:pPr>
    </w:p>
    <w:p>
      <w:pPr>
        <w:ind w:left="900" w:right="1200" w:hanging="469"/>
        <w:spacing w:after="0" w:line="21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900" w:right="1220" w:hanging="469"/>
        <w:spacing w:after="0" w:line="21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ind w:left="900" w:right="1140" w:hanging="469"/>
        <w:spacing w:after="0" w:line="224"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ind w:left="900" w:right="1140" w:hanging="469"/>
        <w:spacing w:after="0" w:line="224"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4" w:lineRule="exact"/>
        <w:rPr>
          <w:rFonts w:ascii="Arial" w:cs="Arial" w:eastAsia="Arial" w:hAnsi="Arial"/>
          <w:sz w:val="18"/>
          <w:szCs w:val="18"/>
          <w:color w:val="auto"/>
        </w:rPr>
      </w:pPr>
    </w:p>
    <w:p>
      <w:pPr>
        <w:ind w:left="440" w:right="1360" w:hanging="414"/>
        <w:spacing w:after="0" w:line="224"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rFonts w:ascii="Arial" w:cs="Arial" w:eastAsia="Arial" w:hAnsi="Arial"/>
          <w:sz w:val="18"/>
          <w:szCs w:val="18"/>
          <w:color w:val="auto"/>
        </w:rPr>
      </w:pPr>
    </w:p>
    <w:p>
      <w:pPr>
        <w:ind w:left="1020" w:right="1420" w:hanging="589"/>
        <w:spacing w:after="0" w:line="224" w:lineRule="auto"/>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8"/>
          <w:szCs w:val="18"/>
          <w:color w:val="auto"/>
        </w:rPr>
      </w:pPr>
    </w:p>
    <w:p>
      <w:pPr>
        <w:ind w:left="1020" w:right="1200" w:hanging="589"/>
        <w:spacing w:after="0" w:line="235" w:lineRule="auto"/>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20"/>
        <w:spacing w:after="0"/>
        <w:tabs>
          <w:tab w:leader="none" w:pos="1040" w:val="left"/>
          <w:tab w:leader="none" w:pos="5520" w:val="left"/>
        </w:tabs>
        <w:rPr>
          <w:sz w:val="20"/>
          <w:szCs w:val="20"/>
          <w:color w:val="auto"/>
        </w:rPr>
      </w:pPr>
      <w:r>
        <w:rPr>
          <w:rFonts w:ascii="Arial" w:cs="Arial" w:eastAsia="Arial" w:hAnsi="Arial"/>
          <w:sz w:val="18"/>
          <w:szCs w:val="18"/>
          <w:color w:val="auto"/>
        </w:rPr>
        <w:t>Date:</w:t>
        <w:tab/>
        <w:t>November 3, 2021</w:t>
      </w:r>
      <w:r>
        <w:rPr>
          <w:sz w:val="20"/>
          <w:szCs w:val="20"/>
          <w:color w:val="auto"/>
        </w:rPr>
        <w:tab/>
      </w:r>
      <w:r>
        <w:rPr>
          <w:rFonts w:ascii="Arial" w:cs="Arial" w:eastAsia="Arial" w:hAnsi="Arial"/>
          <w:sz w:val="16"/>
          <w:szCs w:val="16"/>
          <w:color w:val="auto"/>
        </w:rPr>
        <w:t>/s/ Steven A.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14605</wp:posOffset>
            </wp:positionV>
            <wp:extent cx="18942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Steven A. Michaels</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120"/>
          </w:cols>
          <w:pgMar w:left="1440" w:top="93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2182"/>
        <w:spacing w:after="0"/>
        <w:rPr>
          <w:sz w:val="20"/>
          <w:szCs w:val="20"/>
          <w:color w:val="auto"/>
        </w:rPr>
      </w:pPr>
      <w:r>
        <w:rPr>
          <w:rFonts w:ascii="Arial" w:cs="Arial" w:eastAsia="Arial" w:hAnsi="Arial"/>
          <w:sz w:val="18"/>
          <w:szCs w:val="18"/>
          <w:b w:val="1"/>
          <w:bCs w:val="1"/>
          <w:color w:val="auto"/>
        </w:rPr>
        <w:t>CERTIFICATION PURSUANT TO RULE 13a-14(a)/15d-14(a)</w:t>
      </w:r>
    </w:p>
    <w:p>
      <w:pPr>
        <w:spacing w:after="0" w:line="310" w:lineRule="exact"/>
        <w:rPr>
          <w:sz w:val="20"/>
          <w:szCs w:val="20"/>
          <w:color w:val="auto"/>
        </w:rPr>
      </w:pPr>
    </w:p>
    <w:p>
      <w:pPr>
        <w:ind w:left="402"/>
        <w:spacing w:after="0"/>
        <w:rPr>
          <w:sz w:val="20"/>
          <w:szCs w:val="20"/>
          <w:color w:val="auto"/>
        </w:rPr>
      </w:pPr>
      <w:r>
        <w:rPr>
          <w:rFonts w:ascii="Arial" w:cs="Arial" w:eastAsia="Arial" w:hAnsi="Arial"/>
          <w:sz w:val="18"/>
          <w:szCs w:val="18"/>
          <w:color w:val="auto"/>
        </w:rPr>
        <w:t>I, Brian Garner, certify that:</w:t>
      </w:r>
    </w:p>
    <w:p>
      <w:pPr>
        <w:spacing w:after="0" w:line="77" w:lineRule="exact"/>
        <w:rPr>
          <w:sz w:val="20"/>
          <w:szCs w:val="20"/>
          <w:color w:val="auto"/>
        </w:rPr>
      </w:pPr>
    </w:p>
    <w:p>
      <w:pPr>
        <w:ind w:left="402" w:hanging="402"/>
        <w:spacing w:after="0"/>
        <w:tabs>
          <w:tab w:leader="none" w:pos="4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 Holdings, Inc.;</w:t>
      </w:r>
    </w:p>
    <w:p>
      <w:pPr>
        <w:spacing w:after="0" w:line="76" w:lineRule="exact"/>
        <w:rPr>
          <w:rFonts w:ascii="Arial" w:cs="Arial" w:eastAsia="Arial" w:hAnsi="Arial"/>
          <w:sz w:val="18"/>
          <w:szCs w:val="18"/>
          <w:color w:val="auto"/>
        </w:rPr>
      </w:pPr>
    </w:p>
    <w:p>
      <w:pPr>
        <w:jc w:val="both"/>
        <w:ind w:left="402" w:right="1280" w:hanging="402"/>
        <w:spacing w:after="0" w:line="224" w:lineRule="auto"/>
        <w:tabs>
          <w:tab w:leader="none" w:pos="4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Arial" w:cs="Arial" w:eastAsia="Arial" w:hAnsi="Arial"/>
          <w:sz w:val="18"/>
          <w:szCs w:val="18"/>
          <w:color w:val="auto"/>
        </w:rPr>
      </w:pPr>
    </w:p>
    <w:p>
      <w:pPr>
        <w:ind w:left="402" w:right="1060" w:hanging="402"/>
        <w:spacing w:after="0" w:line="224" w:lineRule="auto"/>
        <w:tabs>
          <w:tab w:leader="none" w:pos="4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8"/>
          <w:szCs w:val="18"/>
          <w:color w:val="auto"/>
        </w:rPr>
      </w:pPr>
    </w:p>
    <w:p>
      <w:pPr>
        <w:ind w:left="402" w:right="1180" w:hanging="402"/>
        <w:spacing w:after="0" w:line="237" w:lineRule="auto"/>
        <w:tabs>
          <w:tab w:leader="none" w:pos="402"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7"/>
          <w:szCs w:val="17"/>
          <w:color w:val="auto"/>
        </w:rPr>
      </w:pPr>
    </w:p>
    <w:p>
      <w:pPr>
        <w:ind w:left="922" w:right="1340" w:hanging="517"/>
        <w:spacing w:after="0" w:line="219" w:lineRule="auto"/>
        <w:tabs>
          <w:tab w:leader="none" w:pos="922"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922" w:right="1060" w:hanging="517"/>
        <w:spacing w:after="0" w:line="219" w:lineRule="auto"/>
        <w:tabs>
          <w:tab w:leader="none" w:pos="922"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922" w:right="1180" w:hanging="517"/>
        <w:spacing w:after="0" w:line="224" w:lineRule="auto"/>
        <w:tabs>
          <w:tab w:leader="none" w:pos="922"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ind w:left="922" w:right="1100" w:hanging="517"/>
        <w:spacing w:after="0" w:line="224" w:lineRule="auto"/>
        <w:tabs>
          <w:tab w:leader="none" w:pos="922"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4" w:lineRule="exact"/>
        <w:rPr>
          <w:rFonts w:ascii="Arial" w:cs="Arial" w:eastAsia="Arial" w:hAnsi="Arial"/>
          <w:sz w:val="18"/>
          <w:szCs w:val="18"/>
          <w:color w:val="auto"/>
        </w:rPr>
      </w:pPr>
    </w:p>
    <w:p>
      <w:pPr>
        <w:ind w:left="402" w:right="1120" w:hanging="402"/>
        <w:spacing w:after="0" w:line="224" w:lineRule="auto"/>
        <w:tabs>
          <w:tab w:leader="none" w:pos="4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rFonts w:ascii="Arial" w:cs="Arial" w:eastAsia="Arial" w:hAnsi="Arial"/>
          <w:sz w:val="18"/>
          <w:szCs w:val="18"/>
          <w:color w:val="auto"/>
        </w:rPr>
      </w:pPr>
    </w:p>
    <w:p>
      <w:pPr>
        <w:ind w:left="1022" w:right="1040" w:hanging="617"/>
        <w:spacing w:after="0" w:line="224" w:lineRule="auto"/>
        <w:tabs>
          <w:tab w:leader="none" w:pos="1022"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8"/>
          <w:szCs w:val="18"/>
          <w:color w:val="auto"/>
        </w:rPr>
      </w:pPr>
    </w:p>
    <w:p>
      <w:pPr>
        <w:ind w:left="1022" w:right="1100" w:hanging="617"/>
        <w:spacing w:after="0" w:line="235" w:lineRule="auto"/>
        <w:tabs>
          <w:tab w:leader="none" w:pos="1022"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662"/>
        <w:spacing w:after="0"/>
        <w:tabs>
          <w:tab w:leader="none" w:pos="1281" w:val="left"/>
          <w:tab w:leader="none" w:pos="5841" w:val="left"/>
        </w:tabs>
        <w:rPr>
          <w:sz w:val="20"/>
          <w:szCs w:val="20"/>
          <w:color w:val="auto"/>
        </w:rPr>
      </w:pPr>
      <w:r>
        <w:rPr>
          <w:rFonts w:ascii="Arial" w:cs="Arial" w:eastAsia="Arial" w:hAnsi="Arial"/>
          <w:sz w:val="18"/>
          <w:szCs w:val="18"/>
          <w:color w:val="auto"/>
        </w:rPr>
        <w:t>Date:</w:t>
        <w:tab/>
        <w:t>November 3, 2021</w:t>
      </w:r>
      <w:r>
        <w:rPr>
          <w:sz w:val="20"/>
          <w:szCs w:val="20"/>
          <w:color w:val="auto"/>
        </w:rPr>
        <w:tab/>
      </w:r>
      <w:r>
        <w:rPr>
          <w:rFonts w:ascii="Arial" w:cs="Arial" w:eastAsia="Arial" w:hAnsi="Arial"/>
          <w:sz w:val="16"/>
          <w:szCs w:val="16"/>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14605</wp:posOffset>
            </wp:positionV>
            <wp:extent cx="17227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30" w:lineRule="exact"/>
        <w:rPr>
          <w:sz w:val="20"/>
          <w:szCs w:val="20"/>
          <w:color w:val="auto"/>
        </w:rPr>
      </w:pPr>
    </w:p>
    <w:p>
      <w:pPr>
        <w:ind w:left="5862"/>
        <w:spacing w:after="0"/>
        <w:rPr>
          <w:sz w:val="20"/>
          <w:szCs w:val="20"/>
          <w:color w:val="auto"/>
        </w:rPr>
      </w:pPr>
      <w:r>
        <w:rPr>
          <w:rFonts w:ascii="Arial" w:cs="Arial" w:eastAsia="Arial" w:hAnsi="Arial"/>
          <w:sz w:val="18"/>
          <w:szCs w:val="18"/>
          <w:color w:val="auto"/>
        </w:rPr>
        <w:t>Brian Garner</w:t>
      </w:r>
    </w:p>
    <w:p>
      <w:pPr>
        <w:spacing w:after="0" w:line="50" w:lineRule="exact"/>
        <w:rPr>
          <w:sz w:val="20"/>
          <w:szCs w:val="20"/>
          <w:color w:val="auto"/>
        </w:rPr>
      </w:pPr>
    </w:p>
    <w:p>
      <w:pPr>
        <w:ind w:left="5862"/>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22"/>
          </w:cols>
          <w:pgMar w:left="1338"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I, Steven A. Michaels, Chief Executive Officer of PROG Holdings, Inc. (the “Company”), certify, pursuant to Section 906 of the Sarbanes-Oxley Act of 2002, 18 U.S.C. Section 1350 that:</w:t>
      </w:r>
    </w:p>
    <w:p>
      <w:pPr>
        <w:spacing w:after="0" w:line="197" w:lineRule="exact"/>
        <w:rPr>
          <w:sz w:val="20"/>
          <w:szCs w:val="20"/>
          <w:color w:val="auto"/>
        </w:rPr>
      </w:pPr>
    </w:p>
    <w:p>
      <w:pPr>
        <w:ind w:left="60" w:right="320"/>
        <w:spacing w:after="0" w:line="277" w:lineRule="auto"/>
        <w:rPr>
          <w:sz w:val="20"/>
          <w:szCs w:val="20"/>
          <w:color w:val="auto"/>
        </w:rPr>
      </w:pPr>
      <w:r>
        <w:rPr>
          <w:rFonts w:ascii="Arial" w:cs="Arial" w:eastAsia="Arial" w:hAnsi="Arial"/>
          <w:sz w:val="18"/>
          <w:szCs w:val="18"/>
          <w:color w:val="auto"/>
        </w:rPr>
        <w:t>The Quarterly Report on Form 10-Q of the Company for the quarter ended September 30, 2021 (the “Report”) fully complies with the requirements of Section 13(a) of the Securities Exchange Act of 1934 (15 U.S.C. 78m); and</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Date:   November 3, 2021</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A. Michaels</w:t>
            </w:r>
          </w:p>
        </w:tc>
      </w:tr>
      <w:tr>
        <w:trPr>
          <w:trHeight w:val="222"/>
        </w:trPr>
        <w:tc>
          <w:tcPr>
            <w:tcW w:w="758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Steven A. Michaels</w:t>
            </w:r>
          </w:p>
        </w:tc>
      </w:tr>
      <w:tr>
        <w:trPr>
          <w:trHeight w:val="230"/>
        </w:trPr>
        <w:tc>
          <w:tcPr>
            <w:tcW w:w="7580" w:type="dxa"/>
            <w:vAlign w:val="bottom"/>
          </w:tcPr>
          <w:p>
            <w:pPr>
              <w:spacing w:after="0"/>
              <w:rPr>
                <w:sz w:val="20"/>
                <w:szCs w:val="20"/>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20"/>
          </w:cols>
          <w:pgMar w:left="34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6"/>
          <w:szCs w:val="16"/>
          <w:color w:val="auto"/>
        </w:rPr>
        <w:t>I, Brian Garner, Chief Financial Officer of PROG Holdings, Inc. (the “Company”), certify, pursuant to Section 906 of the Sarbanes-Oxley Act of 2002, 18</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U.S.C. Section 1350 that:</w:t>
      </w:r>
    </w:p>
    <w:p>
      <w:pPr>
        <w:spacing w:after="0" w:line="238"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The Quarterly Report on Form 10-Q of the Company for the quarter ended September 30, 2021 (the “Report”) fully complies with the requirements of Section 13(a) of the Securities Exchange Act of 1934 (15 U.S.C. 78m); and</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Date:   November 3, 2021</w:t>
            </w:r>
          </w:p>
        </w:tc>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Garner</w:t>
            </w:r>
          </w:p>
        </w:tc>
      </w:tr>
      <w:tr>
        <w:trPr>
          <w:trHeight w:val="222"/>
        </w:trPr>
        <w:tc>
          <w:tcPr>
            <w:tcW w:w="762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Brian Garner</w:t>
            </w:r>
          </w:p>
        </w:tc>
      </w:tr>
      <w:tr>
        <w:trPr>
          <w:trHeight w:val="230"/>
        </w:trPr>
        <w:tc>
          <w:tcPr>
            <w:tcW w:w="762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4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lowerRoman"/>
      <w:start w:val="1"/>
    </w:lvl>
  </w:abstractNum>
  <w:abstractNum w:abstractNumId="3">
    <w:nsid w:val="1BEFD79F"/>
    <w:multiLevelType w:val="hybridMultilevel"/>
    <w:lvl w:ilvl="0">
      <w:lvlJc w:val="left"/>
      <w:lvlText w:val="1"/>
      <w:numFmt w:val="bullet"/>
      <w:start w:val="1"/>
    </w:lvl>
  </w:abstractNum>
  <w:abstractNum w:abstractNumId="4">
    <w:nsid w:val="41A7C4C9"/>
    <w:multiLevelType w:val="hybridMultilevel"/>
    <w:lvl w:ilvl="0">
      <w:lvlJc w:val="left"/>
      <w:lvlText w:val="%1)"/>
      <w:numFmt w:val="decimal"/>
      <w:start w:val="848"/>
    </w:lvl>
  </w:abstractNum>
  <w:abstractNum w:abstractNumId="5">
    <w:nsid w:val="6B68079A"/>
    <w:multiLevelType w:val="hybridMultilevel"/>
    <w:lvl w:ilvl="0">
      <w:lvlJc w:val="left"/>
      <w:lvlText w:val="1"/>
      <w:numFmt w:val="bullet"/>
      <w:start w:val="1"/>
    </w:lvl>
  </w:abstractNum>
  <w:abstractNum w:abstractNumId="6">
    <w:nsid w:val="4E6AFB66"/>
    <w:multiLevelType w:val="hybridMultilevel"/>
    <w:lvl w:ilvl="0">
      <w:lvlJc w:val="left"/>
      <w:lvlText w:val="1"/>
      <w:numFmt w:val="bullet"/>
      <w:start w:val="1"/>
    </w:lvl>
  </w:abstractNum>
  <w:abstractNum w:abstractNumId="7">
    <w:nsid w:val="25E45D32"/>
    <w:multiLevelType w:val="hybridMultilevel"/>
    <w:lvl w:ilvl="0">
      <w:lvlJc w:val="left"/>
      <w:lvlText w:val="2"/>
      <w:numFmt w:val="bullet"/>
      <w:start w:val="1"/>
    </w:lvl>
  </w:abstractNum>
  <w:abstractNum w:abstractNumId="8">
    <w:nsid w:val="519B500D"/>
    <w:multiLevelType w:val="hybridMultilevel"/>
    <w:lvl w:ilvl="0">
      <w:lvlJc w:val="left"/>
      <w:lvlText w:val="1"/>
      <w:numFmt w:val="bullet"/>
      <w:start w:val="1"/>
    </w:lvl>
  </w:abstractNum>
  <w:abstractNum w:abstractNumId="9">
    <w:nsid w:val="431BD7B7"/>
    <w:multiLevelType w:val="hybridMultilevel"/>
    <w:lvl w:ilvl="0">
      <w:lvlJc w:val="left"/>
      <w:lvlText w:val="1"/>
      <w:numFmt w:val="bullet"/>
      <w:start w:val="1"/>
    </w:lvl>
  </w:abstractNum>
  <w:abstractNum w:abstractNumId="10">
    <w:nsid w:val="3F2DBA31"/>
    <w:multiLevelType w:val="hybridMultilevel"/>
    <w:lvl w:ilvl="0">
      <w:lvlJc w:val="left"/>
      <w:lvlText w:val="1"/>
      <w:numFmt w:val="bullet"/>
      <w:start w:val="1"/>
    </w:lvl>
  </w:abstractNum>
  <w:abstractNum w:abstractNumId="11">
    <w:nsid w:val="7C83E458"/>
    <w:multiLevelType w:val="hybridMultilevel"/>
    <w:lvl w:ilvl="0">
      <w:lvlJc w:val="left"/>
      <w:lvlText w:val="2"/>
      <w:numFmt w:val="bullet"/>
      <w:start w:val="1"/>
    </w:lvl>
  </w:abstractNum>
  <w:abstractNum w:abstractNumId="12">
    <w:nsid w:val="257130A3"/>
    <w:multiLevelType w:val="hybridMultilevel"/>
    <w:lvl w:ilvl="0">
      <w:lvlJc w:val="left"/>
      <w:lvlText w:val="1"/>
      <w:numFmt w:val="bullet"/>
      <w:start w:val="1"/>
    </w:lvl>
  </w:abstractNum>
  <w:abstractNum w:abstractNumId="13">
    <w:nsid w:val="62BBD95A"/>
    <w:multiLevelType w:val="hybridMultilevel"/>
    <w:lvl w:ilvl="0">
      <w:lvlJc w:val="left"/>
      <w:lvlText w:val="2"/>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bullet"/>
      <w:start w:val="1"/>
    </w:lvl>
  </w:abstractNum>
  <w:abstractNum w:abstractNumId="16">
    <w:nsid w:val="333AB105"/>
    <w:multiLevelType w:val="hybridMultilevel"/>
    <w:lvl w:ilvl="0">
      <w:lvlJc w:val="left"/>
      <w:lvlText w:val="2"/>
      <w:numFmt w:val="bullet"/>
      <w:start w:val="1"/>
    </w:lvl>
  </w:abstractNum>
  <w:abstractNum w:abstractNumId="17">
    <w:nsid w:val="721DA317"/>
    <w:multiLevelType w:val="hybridMultilevel"/>
    <w:lvl w:ilvl="0">
      <w:lvlJc w:val="left"/>
      <w:lvlText w:val="1"/>
      <w:numFmt w:val="bullet"/>
      <w:start w:val="1"/>
    </w:lvl>
  </w:abstractNum>
  <w:abstractNum w:abstractNumId="18">
    <w:nsid w:val="2443A858"/>
    <w:multiLevelType w:val="hybridMultilevel"/>
    <w:lvl w:ilvl="0">
      <w:lvlJc w:val="left"/>
      <w:lvlText w:val="2"/>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bullet"/>
      <w:start w:val="1"/>
    </w:lvl>
  </w:abstractNum>
  <w:abstractNum w:abstractNumId="23">
    <w:nsid w:val="79838CB2"/>
    <w:multiLevelType w:val="hybridMultilevel"/>
    <w:lvl w:ilvl="0">
      <w:lvlJc w:val="left"/>
      <w:lvlText w:val="%1"/>
      <w:numFmt w:val="decimal"/>
      <w:start w:val="104"/>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2021-11-03T08:33:14Z</dcterms:created>
  <dcterms:modified xsi:type="dcterms:W3CDTF">2021-11-03T08:33:14Z</dcterms:modified>
</cp:coreProperties>
</file>