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7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9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6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6"/>
          <w:szCs w:val="16"/>
          <w:color w:val="auto"/>
        </w:rPr>
        <w:t>________________________________</w:t>
      </w:r>
    </w:p>
    <w:p>
      <w:pPr>
        <w:spacing w:after="0" w:line="3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97"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6"/>
          <w:szCs w:val="16"/>
          <w:color w:val="auto"/>
        </w:rPr>
        <w:t>________________________________</w:t>
      </w:r>
    </w:p>
    <w:p>
      <w:pPr>
        <w:spacing w:after="0" w:line="176"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21"/>
          <w:szCs w:val="21"/>
          <w:b w:val="1"/>
          <w:bCs w:val="1"/>
          <w:color w:val="auto"/>
        </w:rPr>
        <w:t>QUARTERLY REPORT PURSUANT TO SECTION 13 OR 15(d) OF THE SECURITIES EXCHANGE ACT OF</w:t>
      </w:r>
    </w:p>
    <w:p>
      <w:pPr>
        <w:spacing w:after="0" w:line="3" w:lineRule="exact"/>
        <w:rPr>
          <w:sz w:val="24"/>
          <w:szCs w:val="24"/>
          <w:color w:val="auto"/>
        </w:rPr>
      </w:pPr>
    </w:p>
    <w:p>
      <w:pPr>
        <w:ind w:left="640" w:hanging="614"/>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1934</w:t>
      </w:r>
    </w:p>
    <w:p>
      <w:pPr>
        <w:spacing w:after="0" w:line="7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2022</w:t>
      </w:r>
    </w:p>
    <w:p>
      <w:pPr>
        <w:spacing w:after="0" w:line="6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75"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21"/>
          <w:szCs w:val="21"/>
          <w:b w:val="1"/>
          <w:bCs w:val="1"/>
          <w:color w:val="auto"/>
        </w:rPr>
        <w:t>TRANSITION REPORT PURSUANT TO SECTION 13 OR 15(d) OF THE SECURITIES EXCHANGE ACT OF</w:t>
      </w:r>
    </w:p>
    <w:p>
      <w:pPr>
        <w:spacing w:after="0" w:line="3" w:lineRule="exact"/>
        <w:rPr>
          <w:sz w:val="24"/>
          <w:szCs w:val="24"/>
          <w:color w:val="auto"/>
        </w:rPr>
      </w:pPr>
    </w:p>
    <w:p>
      <w:pPr>
        <w:ind w:left="640" w:hanging="614"/>
        <w:spacing w:after="0"/>
        <w:tabs>
          <w:tab w:leader="none" w:pos="6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1934</w:t>
      </w:r>
    </w:p>
    <w:p>
      <w:pPr>
        <w:spacing w:after="0" w:line="79" w:lineRule="exact"/>
        <w:rPr>
          <w:sz w:val="24"/>
          <w:szCs w:val="24"/>
          <w:color w:val="auto"/>
        </w:rPr>
      </w:pPr>
    </w:p>
    <w:p>
      <w:pPr>
        <w:ind w:left="2860"/>
        <w:spacing w:after="0"/>
        <w:tabs>
          <w:tab w:leader="none" w:pos="71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3961130</wp:posOffset>
            </wp:positionH>
            <wp:positionV relativeFrom="paragraph">
              <wp:posOffset>-5080</wp:posOffset>
            </wp:positionV>
            <wp:extent cx="13627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4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1-39628</w:t>
      </w:r>
    </w:p>
    <w:p>
      <w:pPr>
        <w:spacing w:after="0" w:line="70"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6"/>
          <w:szCs w:val="16"/>
          <w:b w:val="1"/>
          <w:bCs w:val="1"/>
          <w:color w:val="auto"/>
        </w:rPr>
        <w:t>________________________________</w:t>
      </w:r>
    </w:p>
    <w:p>
      <w:pPr>
        <w:spacing w:after="0" w:line="2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43"/>
          <w:szCs w:val="43"/>
          <w:b w:val="1"/>
          <w:bCs w:val="1"/>
          <w:color w:val="auto"/>
        </w:rPr>
        <w:t>PROG HOLDINGS, INC.</w:t>
      </w:r>
    </w:p>
    <w:p>
      <w:pPr>
        <w:spacing w:after="0" w:line="2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6"/>
          <w:szCs w:val="16"/>
          <w:b w:val="1"/>
          <w:bCs w:val="1"/>
          <w:color w:val="auto"/>
        </w:rPr>
        <w:t>_________________________________</w:t>
      </w:r>
    </w:p>
    <w:p>
      <w:pPr>
        <w:spacing w:after="0" w:line="118" w:lineRule="exact"/>
        <w:rPr>
          <w:sz w:val="24"/>
          <w:szCs w:val="24"/>
          <w:color w:val="auto"/>
        </w:rPr>
      </w:pPr>
    </w:p>
    <w:p>
      <w:pPr>
        <w:ind w:left="2900"/>
        <w:spacing w:after="0"/>
        <w:tabs>
          <w:tab w:leader="none" w:pos="8080" w:val="left"/>
        </w:tabs>
        <w:rPr>
          <w:sz w:val="20"/>
          <w:szCs w:val="20"/>
          <w:color w:val="auto"/>
        </w:rPr>
      </w:pPr>
      <w:r>
        <w:rPr>
          <w:rFonts w:ascii="Times New Roman" w:cs="Times New Roman" w:eastAsia="Times New Roman" w:hAnsi="Times New Roman"/>
          <w:sz w:val="18"/>
          <w:szCs w:val="18"/>
          <w:b w:val="1"/>
          <w:bCs w:val="1"/>
          <w:color w:val="auto"/>
        </w:rPr>
        <w:t>Georgia</w:t>
      </w:r>
      <w:r>
        <w:rPr>
          <w:sz w:val="20"/>
          <w:szCs w:val="20"/>
          <w:color w:val="auto"/>
        </w:rPr>
        <w:tab/>
      </w:r>
      <w:r>
        <w:rPr>
          <w:rFonts w:ascii="Times New Roman" w:cs="Times New Roman" w:eastAsia="Times New Roman" w:hAnsi="Times New Roman"/>
          <w:sz w:val="18"/>
          <w:szCs w:val="18"/>
          <w:b w:val="1"/>
          <w:bCs w:val="1"/>
          <w:color w:val="auto"/>
        </w:rPr>
        <w:t>85-2484385</w:t>
      </w:r>
    </w:p>
    <w:p>
      <w:pPr>
        <w:spacing w:after="0" w:line="39" w:lineRule="exact"/>
        <w:rPr>
          <w:sz w:val="24"/>
          <w:szCs w:val="24"/>
          <w:color w:val="auto"/>
        </w:rPr>
      </w:pPr>
    </w:p>
    <w:p>
      <w:pPr>
        <w:ind w:left="2300"/>
        <w:spacing w:after="0"/>
        <w:tabs>
          <w:tab w:leader="none" w:pos="7960" w:val="left"/>
        </w:tabs>
        <w:rPr>
          <w:sz w:val="20"/>
          <w:szCs w:val="20"/>
          <w:color w:val="auto"/>
        </w:rPr>
      </w:pPr>
      <w:r>
        <w:rPr>
          <w:rFonts w:ascii="Times New Roman" w:cs="Times New Roman" w:eastAsia="Times New Roman" w:hAnsi="Times New Roman"/>
          <w:sz w:val="14"/>
          <w:szCs w:val="14"/>
          <w:b w:val="1"/>
          <w:bCs w:val="1"/>
          <w:color w:val="auto"/>
        </w:rPr>
        <w:t>(State or other jurisdiction of</w:t>
      </w:r>
      <w:r>
        <w:rPr>
          <w:sz w:val="20"/>
          <w:szCs w:val="20"/>
          <w:color w:val="auto"/>
        </w:rPr>
        <w:tab/>
      </w:r>
      <w:r>
        <w:rPr>
          <w:rFonts w:ascii="Times New Roman" w:cs="Times New Roman" w:eastAsia="Times New Roman" w:hAnsi="Times New Roman"/>
          <w:sz w:val="14"/>
          <w:szCs w:val="14"/>
          <w:b w:val="1"/>
          <w:bCs w:val="1"/>
          <w:color w:val="auto"/>
        </w:rPr>
        <w:t>(I. R. S. Employer</w:t>
      </w:r>
    </w:p>
    <w:p>
      <w:pPr>
        <w:ind w:left="2260"/>
        <w:spacing w:after="0"/>
        <w:tabs>
          <w:tab w:leader="none" w:pos="7940" w:val="left"/>
        </w:tabs>
        <w:rPr>
          <w:sz w:val="20"/>
          <w:szCs w:val="20"/>
          <w:color w:val="auto"/>
        </w:rPr>
      </w:pPr>
      <w:r>
        <w:rPr>
          <w:rFonts w:ascii="Times New Roman" w:cs="Times New Roman" w:eastAsia="Times New Roman" w:hAnsi="Times New Roman"/>
          <w:sz w:val="14"/>
          <w:szCs w:val="14"/>
          <w:b w:val="1"/>
          <w:bCs w:val="1"/>
          <w:color w:val="auto"/>
        </w:rPr>
        <w:t>incorporation or organization)</w:t>
      </w:r>
      <w:r>
        <w:rPr>
          <w:sz w:val="20"/>
          <w:szCs w:val="20"/>
          <w:color w:val="auto"/>
        </w:rPr>
        <w:tab/>
      </w:r>
      <w:r>
        <w:rPr>
          <w:rFonts w:ascii="Times New Roman" w:cs="Times New Roman" w:eastAsia="Times New Roman" w:hAnsi="Times New Roman"/>
          <w:sz w:val="14"/>
          <w:szCs w:val="14"/>
          <w:b w:val="1"/>
          <w:bCs w:val="1"/>
          <w:color w:val="auto"/>
        </w:rPr>
        <w:t>Identification No.)</w:t>
      </w:r>
    </w:p>
    <w:p>
      <w:pPr>
        <w:spacing w:after="0" w:line="80" w:lineRule="exact"/>
        <w:rPr>
          <w:sz w:val="24"/>
          <w:szCs w:val="24"/>
          <w:color w:val="auto"/>
        </w:rPr>
      </w:pPr>
    </w:p>
    <w:p>
      <w:pPr>
        <w:ind w:left="2760"/>
        <w:spacing w:after="0"/>
        <w:tabs>
          <w:tab w:leader="none" w:pos="4360" w:val="left"/>
          <w:tab w:leader="none" w:pos="5380" w:val="left"/>
          <w:tab w:leader="none" w:pos="8080" w:val="left"/>
        </w:tabs>
        <w:rPr>
          <w:sz w:val="20"/>
          <w:szCs w:val="20"/>
          <w:color w:val="auto"/>
        </w:rPr>
      </w:pPr>
      <w:r>
        <w:rPr>
          <w:rFonts w:ascii="Times New Roman" w:cs="Times New Roman" w:eastAsia="Times New Roman" w:hAnsi="Times New Roman"/>
          <w:sz w:val="18"/>
          <w:szCs w:val="18"/>
          <w:b w:val="1"/>
          <w:bCs w:val="1"/>
          <w:color w:val="auto"/>
        </w:rPr>
        <w:t>256 W. Data Drive</w:t>
        <w:tab/>
        <w:t>Draper,</w:t>
      </w:r>
      <w:r>
        <w:rPr>
          <w:sz w:val="20"/>
          <w:szCs w:val="20"/>
          <w:color w:val="auto"/>
        </w:rPr>
        <w:tab/>
      </w:r>
      <w:r>
        <w:rPr>
          <w:rFonts w:ascii="Times New Roman" w:cs="Times New Roman" w:eastAsia="Times New Roman" w:hAnsi="Times New Roman"/>
          <w:sz w:val="18"/>
          <w:szCs w:val="18"/>
          <w:b w:val="1"/>
          <w:bCs w:val="1"/>
          <w:color w:val="auto"/>
        </w:rPr>
        <w:t>Utah</w:t>
      </w:r>
      <w:r>
        <w:rPr>
          <w:sz w:val="20"/>
          <w:szCs w:val="20"/>
          <w:color w:val="auto"/>
        </w:rPr>
        <w:tab/>
      </w:r>
      <w:r>
        <w:rPr>
          <w:rFonts w:ascii="Times New Roman" w:cs="Times New Roman" w:eastAsia="Times New Roman" w:hAnsi="Times New Roman"/>
          <w:sz w:val="17"/>
          <w:szCs w:val="17"/>
          <w:b w:val="1"/>
          <w:bCs w:val="1"/>
          <w:color w:val="auto"/>
        </w:rPr>
        <w:t>84020-2315</w:t>
      </w:r>
    </w:p>
    <w:p>
      <w:pPr>
        <w:spacing w:after="0" w:line="31" w:lineRule="exact"/>
        <w:rPr>
          <w:sz w:val="24"/>
          <w:szCs w:val="24"/>
          <w:color w:val="auto"/>
        </w:rPr>
      </w:pPr>
    </w:p>
    <w:p>
      <w:pPr>
        <w:ind w:left="2020"/>
        <w:spacing w:after="0"/>
        <w:tabs>
          <w:tab w:leader="none" w:pos="8180" w:val="left"/>
        </w:tabs>
        <w:rPr>
          <w:sz w:val="20"/>
          <w:szCs w:val="20"/>
          <w:color w:val="auto"/>
        </w:rPr>
      </w:pPr>
      <w:r>
        <w:rPr>
          <w:rFonts w:ascii="Times New Roman" w:cs="Times New Roman" w:eastAsia="Times New Roman" w:hAnsi="Times New Roman"/>
          <w:sz w:val="14"/>
          <w:szCs w:val="14"/>
          <w:b w:val="1"/>
          <w:bCs w:val="1"/>
          <w:color w:val="auto"/>
        </w:rPr>
        <w:t>(Address of principal executive offices)</w:t>
      </w:r>
      <w:r>
        <w:rPr>
          <w:sz w:val="20"/>
          <w:szCs w:val="20"/>
          <w:color w:val="auto"/>
        </w:rPr>
        <w:tab/>
      </w:r>
      <w:r>
        <w:rPr>
          <w:rFonts w:ascii="Times New Roman" w:cs="Times New Roman" w:eastAsia="Times New Roman" w:hAnsi="Times New Roman"/>
          <w:sz w:val="14"/>
          <w:szCs w:val="14"/>
          <w:b w:val="1"/>
          <w:bCs w:val="1"/>
          <w:color w:val="auto"/>
        </w:rPr>
        <w:t>(Zip Code)</w:t>
      </w:r>
    </w:p>
    <w:p>
      <w:pPr>
        <w:spacing w:after="0" w:line="10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(385) 351-1369</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0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50" w:lineRule="exact"/>
        <w:rPr>
          <w:sz w:val="24"/>
          <w:szCs w:val="24"/>
          <w:color w:val="auto"/>
        </w:rPr>
      </w:pPr>
    </w:p>
    <w:p>
      <w:pPr>
        <w:ind w:left="1700"/>
        <w:spacing w:after="0"/>
        <w:tabs>
          <w:tab w:leader="none" w:pos="5040" w:val="left"/>
          <w:tab w:leader="none" w:pos="7560" w:val="left"/>
        </w:tabs>
        <w:rPr>
          <w:sz w:val="20"/>
          <w:szCs w:val="20"/>
          <w:color w:val="auto"/>
        </w:rPr>
      </w:pPr>
      <w:r>
        <w:rPr>
          <w:rFonts w:ascii="Times New Roman" w:cs="Times New Roman" w:eastAsia="Times New Roman" w:hAnsi="Times New Roman"/>
          <w:sz w:val="14"/>
          <w:szCs w:val="14"/>
          <w:b w:val="1"/>
          <w:bCs w:val="1"/>
          <w:color w:val="auto"/>
        </w:rPr>
        <w:t>Title of each class</w:t>
      </w:r>
      <w:r>
        <w:rPr>
          <w:sz w:val="20"/>
          <w:szCs w:val="20"/>
          <w:color w:val="auto"/>
        </w:rPr>
        <w:tab/>
      </w:r>
      <w:r>
        <w:rPr>
          <w:rFonts w:ascii="Times New Roman" w:cs="Times New Roman" w:eastAsia="Times New Roman" w:hAnsi="Times New Roman"/>
          <w:sz w:val="14"/>
          <w:szCs w:val="14"/>
          <w:b w:val="1"/>
          <w:bCs w:val="1"/>
          <w:color w:val="auto"/>
        </w:rPr>
        <w:t>Trading Symbol</w:t>
      </w:r>
      <w:r>
        <w:rPr>
          <w:sz w:val="20"/>
          <w:szCs w:val="20"/>
          <w:color w:val="auto"/>
        </w:rPr>
        <w:tab/>
      </w:r>
      <w:r>
        <w:rPr>
          <w:rFonts w:ascii="Times New Roman" w:cs="Times New Roman" w:eastAsia="Times New Roman" w:hAnsi="Times New Roman"/>
          <w:sz w:val="14"/>
          <w:szCs w:val="14"/>
          <w:b w:val="1"/>
          <w:bCs w:val="1"/>
          <w:color w:val="auto"/>
        </w:rPr>
        <w:t>Name of each exchange on which registered</w:t>
      </w:r>
    </w:p>
    <w:p>
      <w:pPr>
        <w:spacing w:after="0" w:line="44" w:lineRule="exact"/>
        <w:rPr>
          <w:sz w:val="24"/>
          <w:szCs w:val="24"/>
          <w:color w:val="auto"/>
        </w:rPr>
      </w:pPr>
    </w:p>
    <w:p>
      <w:pPr>
        <w:ind w:left="1000"/>
        <w:spacing w:after="0"/>
        <w:tabs>
          <w:tab w:leader="none" w:pos="5320" w:val="left"/>
          <w:tab w:leader="none" w:pos="7880" w:val="left"/>
        </w:tabs>
        <w:rPr>
          <w:sz w:val="20"/>
          <w:szCs w:val="20"/>
          <w:color w:val="auto"/>
        </w:rPr>
      </w:pPr>
      <w:r>
        <w:rPr>
          <w:rFonts w:ascii="Times New Roman" w:cs="Times New Roman" w:eastAsia="Times New Roman" w:hAnsi="Times New Roman"/>
          <w:sz w:val="18"/>
          <w:szCs w:val="18"/>
          <w:b w:val="1"/>
          <w:bCs w:val="1"/>
          <w:color w:val="auto"/>
        </w:rPr>
        <w:t>Common Stock, $0.50 Par Value</w:t>
      </w:r>
      <w:r>
        <w:rPr>
          <w:sz w:val="20"/>
          <w:szCs w:val="20"/>
          <w:color w:val="auto"/>
        </w:rPr>
        <w:tab/>
      </w:r>
      <w:r>
        <w:rPr>
          <w:rFonts w:ascii="Times New Roman" w:cs="Times New Roman" w:eastAsia="Times New Roman" w:hAnsi="Times New Roman"/>
          <w:sz w:val="18"/>
          <w:szCs w:val="18"/>
          <w:b w:val="1"/>
          <w:bCs w:val="1"/>
          <w:color w:val="auto"/>
        </w:rPr>
        <w:t>PRG</w:t>
      </w:r>
      <w:r>
        <w:rPr>
          <w:sz w:val="20"/>
          <w:szCs w:val="20"/>
          <w:color w:val="auto"/>
        </w:rPr>
        <w:tab/>
      </w:r>
      <w:r>
        <w:rPr>
          <w:rFonts w:ascii="Times New Roman" w:cs="Times New Roman" w:eastAsia="Times New Roman" w:hAnsi="Times New Roman"/>
          <w:sz w:val="17"/>
          <w:szCs w:val="17"/>
          <w:b w:val="1"/>
          <w:bCs w:val="1"/>
          <w:color w:val="auto"/>
        </w:rPr>
        <w:t>New York Stock Exchange</w:t>
      </w:r>
    </w:p>
    <w:p>
      <w:pPr>
        <w:spacing w:after="0" w:line="34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11"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w:t>
      </w:r>
    </w:p>
    <w:p>
      <w:pPr>
        <w:spacing w:after="0" w:line="240" w:lineRule="exact"/>
        <w:rPr>
          <w:sz w:val="24"/>
          <w:szCs w:val="24"/>
          <w:color w:val="auto"/>
        </w:rPr>
      </w:pPr>
    </w:p>
    <w:p>
      <w:pPr>
        <w:jc w:val="both"/>
        <w:ind w:right="380" w:firstLine="180"/>
        <w:spacing w:after="0" w:line="223" w:lineRule="exact"/>
        <w:rPr>
          <w:sz w:val="20"/>
          <w:szCs w:val="20"/>
          <w:color w:val="auto"/>
        </w:rPr>
      </w:pPr>
      <w:r>
        <w:rPr>
          <w:rFonts w:ascii="Times New Roman" w:cs="Times New Roman" w:eastAsia="Times New Roman" w:hAnsi="Times New Roman"/>
          <w:sz w:val="18"/>
          <w:szCs w:val="18"/>
          <w:color w:val="auto"/>
        </w:rPr>
        <w:t xml:space="preserve">Indicate by check mark whether registrant (l) has filed all reports required to be filed by Section 13 or 15 (d) of the Securities Exchange Act of l934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ind w:right="40" w:firstLine="180"/>
        <w:spacing w:after="0" w:line="21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or a smaller reporting company. See</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0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definition of "large accelerated filer," "accelerated filer" and "smaller reporting company" in Rule 12b-2 of the Exchange Act. (Check one):</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9"/>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Large Accelerated Filer</w:t>
            </w:r>
          </w:p>
        </w:tc>
        <w:tc>
          <w:tcPr>
            <w:tcW w:w="5120" w:type="dxa"/>
            <w:vAlign w:val="bottom"/>
          </w:tcPr>
          <w:p>
            <w:pPr>
              <w:jc w:val="right"/>
              <w:ind w:right="3835"/>
              <w:spacing w:after="0" w:line="181" w:lineRule="exact"/>
              <w:rPr>
                <w:sz w:val="20"/>
                <w:szCs w:val="20"/>
                <w:color w:val="auto"/>
              </w:rPr>
            </w:pPr>
            <w:r>
              <w:rPr>
                <w:rFonts w:ascii="MS PGothic" w:cs="MS PGothic" w:eastAsia="MS PGothic" w:hAnsi="MS PGothic"/>
                <w:sz w:val="18"/>
                <w:szCs w:val="18"/>
                <w:color w:val="auto"/>
              </w:rPr>
              <w:t>☒</w:t>
            </w:r>
          </w:p>
        </w:tc>
        <w:tc>
          <w:tcPr>
            <w:tcW w:w="3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Accelerated Filer</w:t>
            </w:r>
          </w:p>
        </w:tc>
        <w:tc>
          <w:tcPr>
            <w:tcW w:w="2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83"/>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Non-Accelerated Filer</w:t>
            </w:r>
          </w:p>
        </w:tc>
        <w:tc>
          <w:tcPr>
            <w:tcW w:w="5120" w:type="dxa"/>
            <w:vAlign w:val="bottom"/>
          </w:tcPr>
          <w:p>
            <w:pPr>
              <w:jc w:val="right"/>
              <w:ind w:right="315"/>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tc>
        <w:tc>
          <w:tcPr>
            <w:tcW w:w="3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84"/>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Emerging Growth Company</w:t>
            </w:r>
          </w:p>
        </w:tc>
        <w:tc>
          <w:tcPr>
            <w:tcW w:w="5120" w:type="dxa"/>
            <w:vAlign w:val="bottom"/>
          </w:tcPr>
          <w:p>
            <w:pPr>
              <w:jc w:val="right"/>
              <w:ind w:right="3835"/>
              <w:spacing w:after="0" w:line="181" w:lineRule="exact"/>
              <w:rPr>
                <w:sz w:val="20"/>
                <w:szCs w:val="20"/>
                <w:color w:val="auto"/>
              </w:rPr>
            </w:pPr>
            <w:r>
              <w:rPr>
                <w:rFonts w:ascii="MS PGothic" w:cs="MS PGothic" w:eastAsia="MS PGothic" w:hAnsi="MS PGothic"/>
                <w:sz w:val="18"/>
                <w:szCs w:val="18"/>
                <w:color w:val="auto"/>
              </w:rPr>
              <w:t>☐</w:t>
            </w:r>
          </w:p>
        </w:tc>
        <w:tc>
          <w:tcPr>
            <w:tcW w:w="3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0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w:t>
            </w:r>
          </w:p>
        </w:tc>
        <w:tc>
          <w:tcPr>
            <w:tcW w:w="2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34"/>
        </w:trPr>
        <w:tc>
          <w:tcPr>
            <w:tcW w:w="10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new or revised financial accounting standards provided pursuant to Section 7(a)(2)(B) of the Securities Act</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10840" w:type="dxa"/>
            <w:vAlign w:val="bottom"/>
            <w:gridSpan w:val="3"/>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8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140" w:type="dxa"/>
            <w:vAlign w:val="bottom"/>
          </w:tcPr>
          <w:p>
            <w:pPr>
              <w:spacing w:after="0"/>
              <w:rPr>
                <w:sz w:val="22"/>
                <w:szCs w:val="22"/>
                <w:color w:val="auto"/>
              </w:rPr>
            </w:pPr>
          </w:p>
        </w:tc>
        <w:tc>
          <w:tcPr>
            <w:tcW w:w="5120" w:type="dxa"/>
            <w:vAlign w:val="bottom"/>
            <w:vMerge w:val="restart"/>
          </w:tcPr>
          <w:p>
            <w:pPr>
              <w:jc w:val="right"/>
              <w:ind w:right="3815"/>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580" w:type="dxa"/>
            <w:vAlign w:val="bottom"/>
          </w:tcPr>
          <w:p>
            <w:pPr>
              <w:jc w:val="center"/>
              <w:ind w:right="1157"/>
              <w:spacing w:after="0"/>
              <w:rPr>
                <w:sz w:val="20"/>
                <w:szCs w:val="20"/>
                <w:color w:val="auto"/>
              </w:rPr>
            </w:pPr>
            <w:r>
              <w:rPr>
                <w:rFonts w:ascii="Times New Roman" w:cs="Times New Roman" w:eastAsia="Times New Roman" w:hAnsi="Times New Roman"/>
                <w:sz w:val="14"/>
                <w:szCs w:val="14"/>
                <w:b w:val="1"/>
                <w:bCs w:val="1"/>
                <w:color w:val="auto"/>
              </w:rPr>
              <w:t>Shares Outstanding as of</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2140" w:type="dxa"/>
            <w:vAlign w:val="bottom"/>
          </w:tcPr>
          <w:p>
            <w:pPr>
              <w:spacing w:after="0"/>
              <w:rPr>
                <w:sz w:val="16"/>
                <w:szCs w:val="16"/>
                <w:color w:val="auto"/>
              </w:rPr>
            </w:pPr>
          </w:p>
        </w:tc>
        <w:tc>
          <w:tcPr>
            <w:tcW w:w="5120" w:type="dxa"/>
            <w:vAlign w:val="bottom"/>
            <w:vMerge w:val="continue"/>
          </w:tcPr>
          <w:p>
            <w:pPr>
              <w:spacing w:after="0"/>
              <w:rPr>
                <w:sz w:val="16"/>
                <w:szCs w:val="16"/>
                <w:color w:val="auto"/>
              </w:rPr>
            </w:pPr>
          </w:p>
        </w:tc>
        <w:tc>
          <w:tcPr>
            <w:tcW w:w="3580" w:type="dxa"/>
            <w:vAlign w:val="bottom"/>
          </w:tcPr>
          <w:p>
            <w:pPr>
              <w:jc w:val="center"/>
              <w:ind w:right="1137"/>
              <w:spacing w:after="0"/>
              <w:rPr>
                <w:sz w:val="20"/>
                <w:szCs w:val="20"/>
                <w:color w:val="auto"/>
              </w:rPr>
            </w:pPr>
            <w:r>
              <w:rPr>
                <w:rFonts w:ascii="Times New Roman" w:cs="Times New Roman" w:eastAsia="Times New Roman" w:hAnsi="Times New Roman"/>
                <w:sz w:val="14"/>
                <w:szCs w:val="14"/>
                <w:b w:val="1"/>
                <w:bCs w:val="1"/>
                <w:color w:val="auto"/>
              </w:rPr>
              <w:t>July 22, 2022</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726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Common Stock, $0.50 Par Value</w:t>
            </w:r>
          </w:p>
        </w:tc>
        <w:tc>
          <w:tcPr>
            <w:tcW w:w="3580" w:type="dxa"/>
            <w:vAlign w:val="bottom"/>
          </w:tcPr>
          <w:p>
            <w:pPr>
              <w:jc w:val="center"/>
              <w:ind w:right="1157"/>
              <w:spacing w:after="0"/>
              <w:rPr>
                <w:sz w:val="20"/>
                <w:szCs w:val="20"/>
                <w:color w:val="auto"/>
              </w:rPr>
            </w:pPr>
            <w:r>
              <w:rPr>
                <w:rFonts w:ascii="Times New Roman" w:cs="Times New Roman" w:eastAsia="Times New Roman" w:hAnsi="Times New Roman"/>
                <w:sz w:val="18"/>
                <w:szCs w:val="18"/>
                <w:color w:val="auto"/>
              </w:rPr>
              <w:t>50,469,105</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1">
            <w:col w:w="11200"/>
          </w:cols>
          <w:pgMar w:left="320" w:top="835" w:right="379" w:bottom="700" w:gutter="0" w:footer="0" w:header="0"/>
        </w:sectPr>
      </w:pPr>
    </w:p>
    <w:p>
      <w:pPr>
        <w:spacing w:after="0" w:line="200" w:lineRule="exact"/>
        <w:rPr>
          <w:sz w:val="24"/>
          <w:szCs w:val="24"/>
          <w:color w:val="auto"/>
        </w:rPr>
      </w:pPr>
    </w:p>
    <w:p>
      <w:pPr>
        <w:spacing w:after="0" w:line="25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35" w:right="379" w:bottom="70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0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b w:val="1"/>
                <w:bCs w:val="1"/>
                <w:color w:val="0000FF"/>
                <w:w w:val="98"/>
              </w:rPr>
              <w:t>PART I. FINANCIAL INFORMATION</w:t>
            </w:r>
          </w:p>
        </w:tc>
        <w:tc>
          <w:tcPr>
            <w:tcW w:w="7940" w:type="dxa"/>
            <w:vAlign w:val="bottom"/>
            <w:gridSpan w:val="8"/>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63"/>
        </w:trPr>
        <w:tc>
          <w:tcPr>
            <w:tcW w:w="20" w:type="dxa"/>
            <w:vAlign w:val="bottom"/>
          </w:tcPr>
          <w:p>
            <w:pPr>
              <w:spacing w:after="0"/>
              <w:rPr>
                <w:sz w:val="22"/>
                <w:szCs w:val="22"/>
                <w:color w:val="auto"/>
              </w:rPr>
            </w:pPr>
          </w:p>
        </w:tc>
        <w:tc>
          <w:tcPr>
            <w:tcW w:w="110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Item 1. Financial Statements</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700" w:type="dxa"/>
            <w:vAlign w:val="bottom"/>
            <w:gridSpan w:val="19"/>
          </w:tcPr>
          <w:p>
            <w:pPr>
              <w:ind w:left="20"/>
              <w:spacing w:after="0"/>
              <w:rPr>
                <w:sz w:val="20"/>
                <w:szCs w:val="20"/>
                <w:color w:val="auto"/>
              </w:rPr>
            </w:pPr>
            <w:r>
              <w:rPr>
                <w:rFonts w:ascii="Times New Roman" w:cs="Times New Roman" w:eastAsia="Times New Roman" w:hAnsi="Times New Roman"/>
                <w:sz w:val="18"/>
                <w:szCs w:val="18"/>
                <w:color w:val="0000FF"/>
              </w:rPr>
              <w:t>Condensed Consolidated Balance Sheets – June 30, 2022 (Unaudited) and December 31, 2021</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8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w w:val="99"/>
              </w:rPr>
              <w:t>Condensed Consolidated Statements of Earnings (Unaudited) – Three and Six Months Ended June 30, 2022 and 2021</w:t>
            </w:r>
          </w:p>
        </w:tc>
        <w:tc>
          <w:tcPr>
            <w:tcW w:w="2220" w:type="dxa"/>
            <w:vAlign w:val="bottom"/>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920" w:type="dxa"/>
            <w:vAlign w:val="bottom"/>
            <w:gridSpan w:val="17"/>
          </w:tcPr>
          <w:p>
            <w:pPr>
              <w:ind w:left="20"/>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(Unaudited) – Six Months Ended June 30, 2022 and 2021</w:t>
            </w:r>
          </w:p>
        </w:tc>
        <w:tc>
          <w:tcPr>
            <w:tcW w:w="56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92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 (Unaudited)</w:t>
            </w:r>
          </w:p>
        </w:tc>
        <w:tc>
          <w:tcPr>
            <w:tcW w:w="3000" w:type="dxa"/>
            <w:vAlign w:val="bottom"/>
            <w:gridSpan w:val="3"/>
          </w:tcPr>
          <w:p>
            <w:pPr>
              <w:spacing w:after="0"/>
              <w:rPr>
                <w:sz w:val="22"/>
                <w:szCs w:val="22"/>
                <w:color w:val="auto"/>
              </w:rPr>
            </w:pPr>
          </w:p>
        </w:tc>
        <w:tc>
          <w:tcPr>
            <w:tcW w:w="2780" w:type="dxa"/>
            <w:vAlign w:val="bottom"/>
            <w:gridSpan w:val="2"/>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70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4000" w:type="dxa"/>
            <w:vAlign w:val="bottom"/>
            <w:gridSpan w:val="4"/>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21</w:t>
            </w:r>
          </w:p>
        </w:tc>
        <w:tc>
          <w:tcPr>
            <w:tcW w:w="20" w:type="dxa"/>
            <w:vAlign w:val="bottom"/>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49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6100" w:type="dxa"/>
            <w:vAlign w:val="bottom"/>
            <w:gridSpan w:val="6"/>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34</w:t>
            </w:r>
          </w:p>
        </w:tc>
        <w:tc>
          <w:tcPr>
            <w:tcW w:w="2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110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35</w:t>
            </w:r>
          </w:p>
        </w:tc>
        <w:tc>
          <w:tcPr>
            <w:tcW w:w="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6120" w:type="dxa"/>
            <w:vAlign w:val="bottom"/>
            <w:gridSpan w:val="7"/>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27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b w:val="1"/>
                <w:bCs w:val="1"/>
                <w:color w:val="0000FF"/>
                <w:w w:val="98"/>
              </w:rPr>
              <w:t>PART II. OTHER INFORMATION</w:t>
            </w:r>
          </w:p>
        </w:tc>
        <w:tc>
          <w:tcPr>
            <w:tcW w:w="8240" w:type="dxa"/>
            <w:vAlign w:val="bottom"/>
            <w:gridSpan w:val="10"/>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19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Item 1. Legal Proceedings</w:t>
            </w:r>
          </w:p>
        </w:tc>
        <w:tc>
          <w:tcPr>
            <w:tcW w:w="9120" w:type="dxa"/>
            <w:vAlign w:val="bottom"/>
            <w:gridSpan w:val="13"/>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36</w:t>
            </w:r>
          </w:p>
        </w:tc>
        <w:tc>
          <w:tcPr>
            <w:tcW w:w="2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16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Item 1A. Risk Factors</w:t>
            </w:r>
          </w:p>
        </w:tc>
        <w:tc>
          <w:tcPr>
            <w:tcW w:w="9420" w:type="dxa"/>
            <w:vAlign w:val="bottom"/>
            <w:gridSpan w:val="15"/>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36</w:t>
            </w:r>
          </w:p>
        </w:tc>
        <w:tc>
          <w:tcPr>
            <w:tcW w:w="20" w:type="dxa"/>
            <w:vAlign w:val="bottom"/>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110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36</w:t>
            </w:r>
          </w:p>
        </w:tc>
        <w:tc>
          <w:tcPr>
            <w:tcW w:w="2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54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4360" w:type="dxa"/>
            <w:vAlign w:val="bottom"/>
            <w:tcBorders>
              <w:top w:val="single" w:sz="8" w:color="0000FF"/>
            </w:tcBorders>
            <w:gridSpan w:val="11"/>
          </w:tcPr>
          <w:p>
            <w:pPr>
              <w:ind w:left="20"/>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6120" w:type="dxa"/>
            <w:vAlign w:val="bottom"/>
            <w:gridSpan w:val="7"/>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36</w:t>
            </w:r>
          </w:p>
        </w:tc>
        <w:tc>
          <w:tcPr>
            <w:tcW w:w="20" w:type="dxa"/>
            <w:vAlign w:val="bottom"/>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54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4.</w:t>
            </w:r>
          </w:p>
        </w:tc>
        <w:tc>
          <w:tcPr>
            <w:tcW w:w="2340" w:type="dxa"/>
            <w:vAlign w:val="bottom"/>
            <w:tcBorders>
              <w:top w:val="single" w:sz="8" w:color="0000FF"/>
            </w:tcBorders>
            <w:gridSpan w:val="9"/>
          </w:tcPr>
          <w:p>
            <w:pPr>
              <w:ind w:left="2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8140" w:type="dxa"/>
            <w:vAlign w:val="bottom"/>
            <w:gridSpan w:val="9"/>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36</w:t>
            </w:r>
          </w:p>
        </w:tc>
        <w:tc>
          <w:tcPr>
            <w:tcW w:w="2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54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5.</w:t>
            </w:r>
          </w:p>
        </w:tc>
        <w:tc>
          <w:tcPr>
            <w:tcW w:w="1340" w:type="dxa"/>
            <w:vAlign w:val="bottom"/>
            <w:tcBorders>
              <w:top w:val="single" w:sz="8" w:color="0000FF"/>
              <w:bottom w:val="single" w:sz="8" w:color="0000FF"/>
            </w:tcBorders>
            <w:gridSpan w:val="4"/>
          </w:tcPr>
          <w:p>
            <w:pPr>
              <w:ind w:left="20"/>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3"/>
          </w:tcPr>
          <w:p>
            <w:pPr>
              <w:spacing w:after="0"/>
              <w:rPr>
                <w:sz w:val="22"/>
                <w:szCs w:val="22"/>
                <w:color w:val="auto"/>
              </w:rPr>
            </w:pPr>
          </w:p>
        </w:tc>
        <w:tc>
          <w:tcPr>
            <w:tcW w:w="8700" w:type="dxa"/>
            <w:vAlign w:val="bottom"/>
            <w:gridSpan w:val="11"/>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36</w:t>
            </w:r>
          </w:p>
        </w:tc>
        <w:tc>
          <w:tcPr>
            <w:tcW w:w="20" w:type="dxa"/>
            <w:vAlign w:val="bottom"/>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6.</w:t>
            </w:r>
          </w:p>
        </w:tc>
        <w:tc>
          <w:tcPr>
            <w:tcW w:w="1048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Exhibits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37</w:t>
            </w:r>
          </w:p>
        </w:tc>
        <w:tc>
          <w:tcPr>
            <w:tcW w:w="2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11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9860" w:type="dxa"/>
            <w:vAlign w:val="bottom"/>
            <w:gridSpan w:val="16"/>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c>
          <w:tcPr>
            <w:tcW w:w="20" w:type="dxa"/>
            <w:vAlign w:val="bottom"/>
          </w:tcPr>
          <w:p>
            <w:pPr>
              <w:spacing w:after="0"/>
              <w:rPr>
                <w:sz w:val="22"/>
                <w:szCs w:val="22"/>
                <w:color w:val="auto"/>
              </w:rPr>
            </w:pPr>
          </w:p>
        </w:tc>
      </w:tr>
      <w:tr>
        <w:trPr>
          <w:trHeight w:val="925"/>
        </w:trPr>
        <w:tc>
          <w:tcPr>
            <w:tcW w:w="20" w:type="dxa"/>
            <w:vAlign w:val="bottom"/>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260" w:type="dxa"/>
            <w:vAlign w:val="bottom"/>
            <w:gridSpan w:val="13"/>
          </w:tcPr>
          <w:p>
            <w:pPr>
              <w:jc w:val="right"/>
              <w:ind w:right="138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7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00" w:type="dxa"/>
            <w:vAlign w:val="bottom"/>
          </w:tcPr>
          <w:p>
            <w:pPr>
              <w:jc w:val="center"/>
              <w:ind w:right="253"/>
              <w:spacing w:after="0" w:line="15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340" w:type="dxa"/>
            <w:vAlign w:val="bottom"/>
          </w:tcPr>
          <w:p>
            <w:pPr>
              <w:spacing w:after="0"/>
              <w:rPr>
                <w:sz w:val="13"/>
                <w:szCs w:val="13"/>
                <w:color w:val="auto"/>
              </w:rPr>
            </w:pPr>
          </w:p>
        </w:tc>
        <w:tc>
          <w:tcPr>
            <w:tcW w:w="1480" w:type="dxa"/>
            <w:vAlign w:val="bottom"/>
          </w:tcPr>
          <w:p>
            <w:pPr>
              <w:jc w:val="right"/>
              <w:ind w:right="371"/>
              <w:spacing w:after="0" w:line="15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76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3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7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320" w:type="dxa"/>
            <w:vAlign w:val="bottom"/>
            <w:gridSpan w:val="3"/>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0" w:type="dxa"/>
            <w:vAlign w:val="bottom"/>
          </w:tcPr>
          <w:p>
            <w:pPr>
              <w:spacing w:after="0"/>
              <w:rPr>
                <w:sz w:val="1"/>
                <w:szCs w:val="1"/>
                <w:color w:val="auto"/>
              </w:rPr>
            </w:pPr>
          </w:p>
        </w:tc>
      </w:tr>
      <w:tr>
        <w:trPr>
          <w:trHeight w:val="236"/>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127,340</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170,159</w:t>
            </w:r>
          </w:p>
        </w:tc>
        <w:tc>
          <w:tcPr>
            <w:tcW w:w="0" w:type="dxa"/>
            <w:vAlign w:val="bottom"/>
          </w:tcPr>
          <w:p>
            <w:pPr>
              <w:spacing w:after="0"/>
              <w:rPr>
                <w:sz w:val="1"/>
                <w:szCs w:val="1"/>
                <w:color w:val="auto"/>
              </w:rPr>
            </w:pPr>
          </w:p>
        </w:tc>
      </w:tr>
      <w:tr>
        <w:trPr>
          <w:trHeight w:val="229"/>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(net of allowances of $81,898 in 2022 and $71,233 in 2021)</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69,671</w:t>
            </w:r>
          </w:p>
        </w:tc>
        <w:tc>
          <w:tcPr>
            <w:tcW w:w="3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66,270</w:t>
            </w:r>
          </w:p>
        </w:tc>
        <w:tc>
          <w:tcPr>
            <w:tcW w:w="0" w:type="dxa"/>
            <w:vAlign w:val="bottom"/>
          </w:tcPr>
          <w:p>
            <w:pPr>
              <w:spacing w:after="0"/>
              <w:rPr>
                <w:sz w:val="1"/>
                <w:szCs w:val="1"/>
                <w:color w:val="auto"/>
              </w:rPr>
            </w:pPr>
          </w:p>
        </w:tc>
      </w:tr>
      <w:tr>
        <w:trPr>
          <w:trHeight w:val="176"/>
        </w:trPr>
        <w:tc>
          <w:tcPr>
            <w:tcW w:w="762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Lease Merchandise (net of accumulated depreciation and allowances of $509,646 in 2022 and</w:t>
            </w:r>
          </w:p>
        </w:tc>
        <w:tc>
          <w:tcPr>
            <w:tcW w:w="3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$463,929 in 2021)</w:t>
            </w:r>
          </w:p>
        </w:tc>
        <w:tc>
          <w:tcPr>
            <w:tcW w:w="300" w:type="dxa"/>
            <w:vAlign w:val="bottom"/>
          </w:tcPr>
          <w:p>
            <w:pPr>
              <w:spacing w:after="0"/>
              <w:rPr>
                <w:sz w:val="21"/>
                <w:szCs w:val="21"/>
                <w:color w:val="auto"/>
              </w:rPr>
            </w:pPr>
          </w:p>
        </w:tc>
        <w:tc>
          <w:tcPr>
            <w:tcW w:w="15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615,256</w:t>
            </w:r>
          </w:p>
        </w:tc>
        <w:tc>
          <w:tcPr>
            <w:tcW w:w="3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714,055</w:t>
            </w:r>
          </w:p>
        </w:tc>
        <w:tc>
          <w:tcPr>
            <w:tcW w:w="0" w:type="dxa"/>
            <w:vAlign w:val="bottom"/>
          </w:tcPr>
          <w:p>
            <w:pPr>
              <w:spacing w:after="0"/>
              <w:rPr>
                <w:sz w:val="1"/>
                <w:szCs w:val="1"/>
                <w:color w:val="auto"/>
              </w:rPr>
            </w:pPr>
          </w:p>
        </w:tc>
      </w:tr>
      <w:tr>
        <w:trPr>
          <w:trHeight w:val="230"/>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Loans Receivable (net of allowances and unamortized fees of $52,749 in 2022 and $53,300 in 2021)</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123,578</w:t>
            </w:r>
          </w:p>
        </w:tc>
        <w:tc>
          <w:tcPr>
            <w:tcW w:w="3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119,315</w:t>
            </w:r>
          </w:p>
        </w:tc>
        <w:tc>
          <w:tcPr>
            <w:tcW w:w="0" w:type="dxa"/>
            <w:vAlign w:val="bottom"/>
          </w:tcPr>
          <w:p>
            <w:pPr>
              <w:spacing w:after="0"/>
              <w:rPr>
                <w:sz w:val="1"/>
                <w:szCs w:val="1"/>
                <w:color w:val="auto"/>
              </w:rPr>
            </w:pPr>
          </w:p>
        </w:tc>
      </w:tr>
      <w:tr>
        <w:trPr>
          <w:trHeight w:val="229"/>
        </w:trPr>
        <w:tc>
          <w:tcPr>
            <w:tcW w:w="7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Pr>
          <w:p>
            <w:pPr>
              <w:spacing w:after="0"/>
              <w:rPr>
                <w:sz w:val="19"/>
                <w:szCs w:val="19"/>
                <w:color w:val="auto"/>
              </w:rPr>
            </w:pPr>
          </w:p>
        </w:tc>
        <w:tc>
          <w:tcPr>
            <w:tcW w:w="15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25,429</w:t>
            </w:r>
          </w:p>
        </w:tc>
        <w:tc>
          <w:tcPr>
            <w:tcW w:w="3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25,648</w:t>
            </w:r>
          </w:p>
        </w:tc>
        <w:tc>
          <w:tcPr>
            <w:tcW w:w="0" w:type="dxa"/>
            <w:vAlign w:val="bottom"/>
          </w:tcPr>
          <w:p>
            <w:pPr>
              <w:spacing w:after="0"/>
              <w:rPr>
                <w:sz w:val="1"/>
                <w:szCs w:val="1"/>
                <w:color w:val="auto"/>
              </w:rPr>
            </w:pPr>
          </w:p>
        </w:tc>
      </w:tr>
      <w:tr>
        <w:trPr>
          <w:trHeight w:val="229"/>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15,501</w:t>
            </w:r>
          </w:p>
        </w:tc>
        <w:tc>
          <w:tcPr>
            <w:tcW w:w="3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17,488</w:t>
            </w:r>
          </w:p>
        </w:tc>
        <w:tc>
          <w:tcPr>
            <w:tcW w:w="0" w:type="dxa"/>
            <w:vAlign w:val="bottom"/>
          </w:tcPr>
          <w:p>
            <w:pPr>
              <w:spacing w:after="0"/>
              <w:rPr>
                <w:sz w:val="1"/>
                <w:szCs w:val="1"/>
                <w:color w:val="auto"/>
              </w:rPr>
            </w:pPr>
          </w:p>
        </w:tc>
      </w:tr>
      <w:tr>
        <w:trPr>
          <w:trHeight w:val="230"/>
        </w:trPr>
        <w:tc>
          <w:tcPr>
            <w:tcW w:w="7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Pr>
          <w:p>
            <w:pPr>
              <w:spacing w:after="0"/>
              <w:rPr>
                <w:sz w:val="19"/>
                <w:szCs w:val="19"/>
                <w:color w:val="auto"/>
              </w:rPr>
            </w:pPr>
          </w:p>
        </w:tc>
        <w:tc>
          <w:tcPr>
            <w:tcW w:w="15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306,212</w:t>
            </w:r>
          </w:p>
        </w:tc>
        <w:tc>
          <w:tcPr>
            <w:tcW w:w="3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306,212</w:t>
            </w:r>
          </w:p>
        </w:tc>
        <w:tc>
          <w:tcPr>
            <w:tcW w:w="0" w:type="dxa"/>
            <w:vAlign w:val="bottom"/>
          </w:tcPr>
          <w:p>
            <w:pPr>
              <w:spacing w:after="0"/>
              <w:rPr>
                <w:sz w:val="1"/>
                <w:szCs w:val="1"/>
                <w:color w:val="auto"/>
              </w:rPr>
            </w:pPr>
          </w:p>
        </w:tc>
      </w:tr>
      <w:tr>
        <w:trPr>
          <w:trHeight w:val="229"/>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Intangibles, Net</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125,859</w:t>
            </w:r>
          </w:p>
        </w:tc>
        <w:tc>
          <w:tcPr>
            <w:tcW w:w="3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137,305</w:t>
            </w:r>
          </w:p>
        </w:tc>
        <w:tc>
          <w:tcPr>
            <w:tcW w:w="0" w:type="dxa"/>
            <w:vAlign w:val="bottom"/>
          </w:tcPr>
          <w:p>
            <w:pPr>
              <w:spacing w:after="0"/>
              <w:rPr>
                <w:sz w:val="1"/>
                <w:szCs w:val="1"/>
                <w:color w:val="auto"/>
              </w:rPr>
            </w:pPr>
          </w:p>
        </w:tc>
      </w:tr>
      <w:tr>
        <w:trPr>
          <w:trHeight w:val="229"/>
        </w:trPr>
        <w:tc>
          <w:tcPr>
            <w:tcW w:w="7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 Receivable</w:t>
            </w:r>
          </w:p>
        </w:tc>
        <w:tc>
          <w:tcPr>
            <w:tcW w:w="300" w:type="dxa"/>
            <w:vAlign w:val="bottom"/>
          </w:tcPr>
          <w:p>
            <w:pPr>
              <w:spacing w:after="0"/>
              <w:rPr>
                <w:sz w:val="19"/>
                <w:szCs w:val="19"/>
                <w:color w:val="auto"/>
              </w:rPr>
            </w:pPr>
          </w:p>
        </w:tc>
        <w:tc>
          <w:tcPr>
            <w:tcW w:w="15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13,199</w:t>
            </w:r>
          </w:p>
        </w:tc>
        <w:tc>
          <w:tcPr>
            <w:tcW w:w="3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14,352</w:t>
            </w:r>
          </w:p>
        </w:tc>
        <w:tc>
          <w:tcPr>
            <w:tcW w:w="0" w:type="dxa"/>
            <w:vAlign w:val="bottom"/>
          </w:tcPr>
          <w:p>
            <w:pPr>
              <w:spacing w:after="0"/>
              <w:rPr>
                <w:sz w:val="1"/>
                <w:szCs w:val="1"/>
                <w:color w:val="auto"/>
              </w:rPr>
            </w:pPr>
          </w:p>
        </w:tc>
      </w:tr>
      <w:tr>
        <w:trPr>
          <w:trHeight w:val="230"/>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2,760</w:t>
            </w:r>
          </w:p>
        </w:tc>
        <w:tc>
          <w:tcPr>
            <w:tcW w:w="3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0" w:type="dxa"/>
            <w:vAlign w:val="bottom"/>
          </w:tcPr>
          <w:p>
            <w:pPr>
              <w:spacing w:after="0"/>
              <w:rPr>
                <w:sz w:val="1"/>
                <w:szCs w:val="1"/>
                <w:color w:val="auto"/>
              </w:rPr>
            </w:pPr>
          </w:p>
        </w:tc>
      </w:tr>
      <w:tr>
        <w:trPr>
          <w:trHeight w:val="229"/>
        </w:trPr>
        <w:tc>
          <w:tcPr>
            <w:tcW w:w="7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53,585</w:t>
            </w:r>
          </w:p>
        </w:tc>
        <w:tc>
          <w:tcPr>
            <w:tcW w:w="3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48,197</w:t>
            </w:r>
          </w:p>
        </w:tc>
        <w:tc>
          <w:tcPr>
            <w:tcW w:w="0" w:type="dxa"/>
            <w:vAlign w:val="bottom"/>
          </w:tcPr>
          <w:p>
            <w:pPr>
              <w:spacing w:after="0"/>
              <w:rPr>
                <w:sz w:val="1"/>
                <w:szCs w:val="1"/>
                <w:color w:val="auto"/>
              </w:rPr>
            </w:pPr>
          </w:p>
        </w:tc>
      </w:tr>
      <w:tr>
        <w:trPr>
          <w:trHeight w:val="248"/>
        </w:trPr>
        <w:tc>
          <w:tcPr>
            <w:tcW w:w="76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1,478,390</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1,621,761</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&amp; SHAREHOLDERS’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6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125,964</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135,954</w:t>
            </w:r>
          </w:p>
        </w:tc>
        <w:tc>
          <w:tcPr>
            <w:tcW w:w="0" w:type="dxa"/>
            <w:vAlign w:val="bottom"/>
          </w:tcPr>
          <w:p>
            <w:pPr>
              <w:spacing w:after="0"/>
              <w:rPr>
                <w:sz w:val="1"/>
                <w:szCs w:val="1"/>
                <w:color w:val="auto"/>
              </w:rPr>
            </w:pPr>
          </w:p>
        </w:tc>
      </w:tr>
      <w:tr>
        <w:trPr>
          <w:trHeight w:val="230"/>
        </w:trPr>
        <w:tc>
          <w:tcPr>
            <w:tcW w:w="7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Income Tax Liability</w:t>
            </w:r>
          </w:p>
        </w:tc>
        <w:tc>
          <w:tcPr>
            <w:tcW w:w="300" w:type="dxa"/>
            <w:vAlign w:val="bottom"/>
          </w:tcPr>
          <w:p>
            <w:pPr>
              <w:spacing w:after="0"/>
              <w:rPr>
                <w:sz w:val="19"/>
                <w:szCs w:val="19"/>
                <w:color w:val="auto"/>
              </w:rPr>
            </w:pPr>
          </w:p>
        </w:tc>
        <w:tc>
          <w:tcPr>
            <w:tcW w:w="15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145,569</w:t>
            </w:r>
          </w:p>
        </w:tc>
        <w:tc>
          <w:tcPr>
            <w:tcW w:w="3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146,265</w:t>
            </w:r>
          </w:p>
        </w:tc>
        <w:tc>
          <w:tcPr>
            <w:tcW w:w="0" w:type="dxa"/>
            <w:vAlign w:val="bottom"/>
          </w:tcPr>
          <w:p>
            <w:pPr>
              <w:spacing w:after="0"/>
              <w:rPr>
                <w:sz w:val="1"/>
                <w:szCs w:val="1"/>
                <w:color w:val="auto"/>
              </w:rPr>
            </w:pPr>
          </w:p>
        </w:tc>
      </w:tr>
      <w:tr>
        <w:trPr>
          <w:trHeight w:val="229"/>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Customer Deposits and Advance Payments</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36,197</w:t>
            </w:r>
          </w:p>
        </w:tc>
        <w:tc>
          <w:tcPr>
            <w:tcW w:w="3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45,070</w:t>
            </w:r>
          </w:p>
        </w:tc>
        <w:tc>
          <w:tcPr>
            <w:tcW w:w="0" w:type="dxa"/>
            <w:vAlign w:val="bottom"/>
          </w:tcPr>
          <w:p>
            <w:pPr>
              <w:spacing w:after="0"/>
              <w:rPr>
                <w:sz w:val="1"/>
                <w:szCs w:val="1"/>
                <w:color w:val="auto"/>
              </w:rPr>
            </w:pPr>
          </w:p>
        </w:tc>
      </w:tr>
      <w:tr>
        <w:trPr>
          <w:trHeight w:val="230"/>
        </w:trPr>
        <w:tc>
          <w:tcPr>
            <w:tcW w:w="7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tcPr>
          <w:p>
            <w:pPr>
              <w:spacing w:after="0"/>
              <w:rPr>
                <w:sz w:val="19"/>
                <w:szCs w:val="19"/>
                <w:color w:val="auto"/>
              </w:rPr>
            </w:pPr>
          </w:p>
        </w:tc>
        <w:tc>
          <w:tcPr>
            <w:tcW w:w="15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23,572</w:t>
            </w:r>
          </w:p>
        </w:tc>
        <w:tc>
          <w:tcPr>
            <w:tcW w:w="3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25,410</w:t>
            </w:r>
          </w:p>
        </w:tc>
        <w:tc>
          <w:tcPr>
            <w:tcW w:w="0" w:type="dxa"/>
            <w:vAlign w:val="bottom"/>
          </w:tcPr>
          <w:p>
            <w:pPr>
              <w:spacing w:after="0"/>
              <w:rPr>
                <w:sz w:val="1"/>
                <w:szCs w:val="1"/>
                <w:color w:val="auto"/>
              </w:rPr>
            </w:pPr>
          </w:p>
        </w:tc>
      </w:tr>
      <w:tr>
        <w:trPr>
          <w:trHeight w:val="230"/>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Debt</w:t>
            </w:r>
          </w:p>
        </w:tc>
        <w:tc>
          <w:tcPr>
            <w:tcW w:w="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590,317</w:t>
            </w:r>
          </w:p>
        </w:tc>
        <w:tc>
          <w:tcPr>
            <w:tcW w:w="3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589,654</w:t>
            </w:r>
          </w:p>
        </w:tc>
        <w:tc>
          <w:tcPr>
            <w:tcW w:w="0" w:type="dxa"/>
            <w:vAlign w:val="bottom"/>
          </w:tcPr>
          <w:p>
            <w:pPr>
              <w:spacing w:after="0"/>
              <w:rPr>
                <w:sz w:val="1"/>
                <w:szCs w:val="1"/>
                <w:color w:val="auto"/>
              </w:rPr>
            </w:pPr>
          </w:p>
        </w:tc>
      </w:tr>
      <w:tr>
        <w:trPr>
          <w:trHeight w:val="223"/>
        </w:trPr>
        <w:tc>
          <w:tcPr>
            <w:tcW w:w="7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Pr>
          <w:p>
            <w:pPr>
              <w:spacing w:after="0"/>
              <w:rPr>
                <w:sz w:val="19"/>
                <w:szCs w:val="19"/>
                <w:color w:val="auto"/>
              </w:rPr>
            </w:pPr>
          </w:p>
        </w:tc>
        <w:tc>
          <w:tcPr>
            <w:tcW w:w="15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921,619</w:t>
            </w:r>
          </w:p>
        </w:tc>
        <w:tc>
          <w:tcPr>
            <w:tcW w:w="3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942,353</w:t>
            </w:r>
          </w:p>
        </w:tc>
        <w:tc>
          <w:tcPr>
            <w:tcW w:w="0" w:type="dxa"/>
            <w:vAlign w:val="bottom"/>
          </w:tcPr>
          <w:p>
            <w:pPr>
              <w:spacing w:after="0"/>
              <w:rPr>
                <w:sz w:val="1"/>
                <w:szCs w:val="1"/>
                <w:color w:val="auto"/>
              </w:rPr>
            </w:pPr>
          </w:p>
        </w:tc>
      </w:tr>
      <w:tr>
        <w:trPr>
          <w:trHeight w:val="230"/>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Commitments and Contingencies (Note 4)</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3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62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Common Stock, Par Value $0.50 Per Share: Authorized: 225,000,000 Shares at June 30, 2022 and</w:t>
            </w:r>
          </w:p>
        </w:tc>
        <w:tc>
          <w:tcPr>
            <w:tcW w:w="3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December 31, 2021; Shares Issued: 82,078,654 at June 30, 2022 and December 31, 2021</w:t>
            </w:r>
          </w:p>
        </w:tc>
        <w:tc>
          <w:tcPr>
            <w:tcW w:w="30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41,039</w:t>
            </w:r>
          </w:p>
        </w:tc>
        <w:tc>
          <w:tcPr>
            <w:tcW w:w="3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41,039</w:t>
            </w:r>
          </w:p>
        </w:tc>
        <w:tc>
          <w:tcPr>
            <w:tcW w:w="0" w:type="dxa"/>
            <w:vAlign w:val="bottom"/>
          </w:tcPr>
          <w:p>
            <w:pPr>
              <w:spacing w:after="0"/>
              <w:rPr>
                <w:sz w:val="1"/>
                <w:szCs w:val="1"/>
                <w:color w:val="auto"/>
              </w:rPr>
            </w:pPr>
          </w:p>
        </w:tc>
      </w:tr>
      <w:tr>
        <w:trPr>
          <w:trHeight w:val="230"/>
        </w:trPr>
        <w:tc>
          <w:tcPr>
            <w:tcW w:w="7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tcPr>
          <w:p>
            <w:pPr>
              <w:spacing w:after="0"/>
              <w:rPr>
                <w:sz w:val="19"/>
                <w:szCs w:val="19"/>
                <w:color w:val="auto"/>
              </w:rPr>
            </w:pPr>
          </w:p>
        </w:tc>
        <w:tc>
          <w:tcPr>
            <w:tcW w:w="15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332,823</w:t>
            </w:r>
          </w:p>
        </w:tc>
        <w:tc>
          <w:tcPr>
            <w:tcW w:w="3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332,244</w:t>
            </w:r>
          </w:p>
        </w:tc>
        <w:tc>
          <w:tcPr>
            <w:tcW w:w="0" w:type="dxa"/>
            <w:vAlign w:val="bottom"/>
          </w:tcPr>
          <w:p>
            <w:pPr>
              <w:spacing w:after="0"/>
              <w:rPr>
                <w:sz w:val="1"/>
                <w:szCs w:val="1"/>
                <w:color w:val="auto"/>
              </w:rPr>
            </w:pPr>
          </w:p>
        </w:tc>
      </w:tr>
      <w:tr>
        <w:trPr>
          <w:trHeight w:val="230"/>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1,102,145</w:t>
            </w:r>
          </w:p>
        </w:tc>
        <w:tc>
          <w:tcPr>
            <w:tcW w:w="3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1,055,526</w:t>
            </w:r>
          </w:p>
        </w:tc>
        <w:tc>
          <w:tcPr>
            <w:tcW w:w="0" w:type="dxa"/>
            <w:vAlign w:val="bottom"/>
          </w:tcPr>
          <w:p>
            <w:pPr>
              <w:spacing w:after="0"/>
              <w:rPr>
                <w:sz w:val="1"/>
                <w:szCs w:val="1"/>
                <w:color w:val="auto"/>
              </w:rPr>
            </w:pPr>
          </w:p>
        </w:tc>
      </w:tr>
      <w:tr>
        <w:trPr>
          <w:trHeight w:val="223"/>
        </w:trPr>
        <w:tc>
          <w:tcPr>
            <w:tcW w:w="7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1,476,007</w:t>
            </w:r>
          </w:p>
        </w:tc>
        <w:tc>
          <w:tcPr>
            <w:tcW w:w="3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1,428,809</w:t>
            </w:r>
          </w:p>
        </w:tc>
        <w:tc>
          <w:tcPr>
            <w:tcW w:w="0" w:type="dxa"/>
            <w:vAlign w:val="bottom"/>
          </w:tcPr>
          <w:p>
            <w:pPr>
              <w:spacing w:after="0"/>
              <w:rPr>
                <w:sz w:val="1"/>
                <w:szCs w:val="1"/>
                <w:color w:val="auto"/>
              </w:rPr>
            </w:pPr>
          </w:p>
        </w:tc>
      </w:tr>
      <w:tr>
        <w:trPr>
          <w:trHeight w:val="22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Treasury Shares at Cost</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Common Stock: 31,513,117 Shares at June 30, 2022 and 25,638,057 at December 31, 2021</w:t>
            </w: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(919,236)</w:t>
            </w:r>
          </w:p>
        </w:tc>
        <w:tc>
          <w:tcPr>
            <w:tcW w:w="3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(749,401)</w:t>
            </w:r>
          </w:p>
        </w:tc>
        <w:tc>
          <w:tcPr>
            <w:tcW w:w="0" w:type="dxa"/>
            <w:vAlign w:val="bottom"/>
          </w:tcPr>
          <w:p>
            <w:pPr>
              <w:spacing w:after="0"/>
              <w:rPr>
                <w:sz w:val="1"/>
                <w:szCs w:val="1"/>
                <w:color w:val="auto"/>
              </w:rPr>
            </w:pPr>
          </w:p>
        </w:tc>
      </w:tr>
      <w:tr>
        <w:trPr>
          <w:trHeight w:val="223"/>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556,771</w:t>
            </w:r>
          </w:p>
        </w:tc>
        <w:tc>
          <w:tcPr>
            <w:tcW w:w="3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679,408</w:t>
            </w:r>
          </w:p>
        </w:tc>
        <w:tc>
          <w:tcPr>
            <w:tcW w:w="0" w:type="dxa"/>
            <w:vAlign w:val="bottom"/>
          </w:tcPr>
          <w:p>
            <w:pPr>
              <w:spacing w:after="0"/>
              <w:rPr>
                <w:sz w:val="1"/>
                <w:szCs w:val="1"/>
                <w:color w:val="auto"/>
              </w:rPr>
            </w:pPr>
          </w:p>
        </w:tc>
      </w:tr>
      <w:tr>
        <w:trPr>
          <w:trHeight w:val="22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&amp; Shareholders’ Equity</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1,478,390</w:t>
            </w: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1,621,761</w:t>
            </w:r>
          </w:p>
        </w:tc>
        <w:tc>
          <w:tcPr>
            <w:tcW w:w="0" w:type="dxa"/>
            <w:vAlign w:val="bottom"/>
          </w:tcPr>
          <w:p>
            <w:pPr>
              <w:spacing w:after="0"/>
              <w:rPr>
                <w:sz w:val="1"/>
                <w:szCs w:val="1"/>
                <w:color w:val="auto"/>
              </w:rPr>
            </w:pPr>
          </w:p>
        </w:tc>
      </w:tr>
      <w:tr>
        <w:trPr>
          <w:trHeight w:val="21"/>
        </w:trPr>
        <w:tc>
          <w:tcPr>
            <w:tcW w:w="7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EARNINGS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60" w:type="dxa"/>
            <w:vAlign w:val="bottom"/>
            <w:gridSpan w:val="3"/>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00" w:type="dxa"/>
            <w:vAlign w:val="bottom"/>
          </w:tcPr>
          <w:p>
            <w:pPr>
              <w:spacing w:after="0"/>
              <w:rPr>
                <w:sz w:val="13"/>
                <w:szCs w:val="13"/>
                <w:color w:val="auto"/>
              </w:rPr>
            </w:pPr>
          </w:p>
        </w:tc>
      </w:tr>
      <w:tr>
        <w:trPr>
          <w:trHeight w:val="195"/>
        </w:trPr>
        <w:tc>
          <w:tcPr>
            <w:tcW w:w="5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195"/>
        </w:trPr>
        <w:tc>
          <w:tcPr>
            <w:tcW w:w="52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5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60" w:type="dxa"/>
            <w:vAlign w:val="bottom"/>
            <w:gridSpan w:val="3"/>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6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29"/>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Revenues and Fees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631,344</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646,048</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1,324,258</w:t>
            </w:r>
          </w:p>
        </w:tc>
        <w:tc>
          <w:tcPr>
            <w:tcW w:w="6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1,354,030</w:t>
            </w:r>
          </w:p>
        </w:tc>
      </w:tr>
      <w:tr>
        <w:trPr>
          <w:trHeight w:val="229"/>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and Fees on Loans Receivable</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18,100</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13,923</w:t>
            </w: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35,650</w:t>
            </w:r>
          </w:p>
        </w:tc>
        <w:tc>
          <w:tcPr>
            <w:tcW w:w="6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26,942</w:t>
            </w:r>
          </w:p>
        </w:tc>
      </w:tr>
      <w:tr>
        <w:trPr>
          <w:trHeight w:val="223"/>
        </w:trPr>
        <w:tc>
          <w:tcPr>
            <w:tcW w:w="5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649,444</w:t>
            </w:r>
          </w:p>
        </w:tc>
        <w:tc>
          <w:tcPr>
            <w:tcW w:w="320" w:type="dxa"/>
            <w:vAlign w:val="bottom"/>
          </w:tcPr>
          <w:p>
            <w:pPr>
              <w:spacing w:after="0"/>
              <w:rPr>
                <w:sz w:val="19"/>
                <w:szCs w:val="19"/>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659,971</w:t>
            </w:r>
          </w:p>
        </w:tc>
        <w:tc>
          <w:tcPr>
            <w:tcW w:w="40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1,359,908</w:t>
            </w:r>
          </w:p>
        </w:tc>
        <w:tc>
          <w:tcPr>
            <w:tcW w:w="6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1,380,972</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of Lease Merchandise</w:t>
            </w:r>
          </w:p>
        </w:tc>
        <w:tc>
          <w:tcPr>
            <w:tcW w:w="34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439,113</w:t>
            </w:r>
          </w:p>
        </w:tc>
        <w:tc>
          <w:tcPr>
            <w:tcW w:w="320" w:type="dxa"/>
            <w:vAlign w:val="bottom"/>
          </w:tcPr>
          <w:p>
            <w:pPr>
              <w:spacing w:after="0"/>
              <w:rPr>
                <w:sz w:val="19"/>
                <w:szCs w:val="19"/>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439,658</w:t>
            </w:r>
          </w:p>
        </w:tc>
        <w:tc>
          <w:tcPr>
            <w:tcW w:w="40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936,124</w:t>
            </w:r>
          </w:p>
        </w:tc>
        <w:tc>
          <w:tcPr>
            <w:tcW w:w="6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944,715</w:t>
            </w:r>
          </w:p>
        </w:tc>
      </w:tr>
      <w:tr>
        <w:trPr>
          <w:trHeight w:val="229"/>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Lease Merchandise Write-offs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61,788</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31,258</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112,118</w:t>
            </w: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49,898</w:t>
            </w:r>
          </w:p>
        </w:tc>
      </w:tr>
      <w:tr>
        <w:trPr>
          <w:trHeight w:val="229"/>
        </w:trPr>
        <w:tc>
          <w:tcPr>
            <w:tcW w:w="52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111,606</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96,745</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225,264</w:t>
            </w:r>
          </w:p>
        </w:tc>
        <w:tc>
          <w:tcPr>
            <w:tcW w:w="6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187,941</w:t>
            </w:r>
          </w:p>
        </w:tc>
      </w:tr>
      <w:tr>
        <w:trPr>
          <w:trHeight w:val="223"/>
        </w:trPr>
        <w:tc>
          <w:tcPr>
            <w:tcW w:w="52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612,507</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567,661</w:t>
            </w: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1,273,506</w:t>
            </w:r>
          </w:p>
        </w:tc>
        <w:tc>
          <w:tcPr>
            <w:tcW w:w="6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1,182,554</w:t>
            </w: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34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36,937</w:t>
            </w:r>
          </w:p>
        </w:tc>
        <w:tc>
          <w:tcPr>
            <w:tcW w:w="320" w:type="dxa"/>
            <w:vAlign w:val="bottom"/>
          </w:tcPr>
          <w:p>
            <w:pPr>
              <w:spacing w:after="0"/>
              <w:rPr>
                <w:sz w:val="19"/>
                <w:szCs w:val="19"/>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92,310</w:t>
            </w:r>
          </w:p>
        </w:tc>
        <w:tc>
          <w:tcPr>
            <w:tcW w:w="40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86,402</w:t>
            </w:r>
          </w:p>
        </w:tc>
        <w:tc>
          <w:tcPr>
            <w:tcW w:w="6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198,418</w:t>
            </w:r>
          </w:p>
        </w:tc>
      </w:tr>
      <w:tr>
        <w:trPr>
          <w:trHeight w:val="229"/>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(9,608)</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(19,237)</w:t>
            </w:r>
          </w:p>
        </w:tc>
        <w:tc>
          <w:tcPr>
            <w:tcW w:w="6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BEFORE INCOME TAX EXPENSE</w:t>
            </w:r>
          </w:p>
        </w:tc>
        <w:tc>
          <w:tcPr>
            <w:tcW w:w="34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27,329</w:t>
            </w:r>
          </w:p>
        </w:tc>
        <w:tc>
          <w:tcPr>
            <w:tcW w:w="320" w:type="dxa"/>
            <w:vAlign w:val="bottom"/>
          </w:tcPr>
          <w:p>
            <w:pPr>
              <w:spacing w:after="0"/>
              <w:rPr>
                <w:sz w:val="19"/>
                <w:szCs w:val="19"/>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91,874</w:t>
            </w:r>
          </w:p>
        </w:tc>
        <w:tc>
          <w:tcPr>
            <w:tcW w:w="40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67,165</w:t>
            </w:r>
          </w:p>
        </w:tc>
        <w:tc>
          <w:tcPr>
            <w:tcW w:w="6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197,470</w:t>
            </w: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7,845</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23,037</w:t>
            </w: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20,546</w:t>
            </w:r>
          </w:p>
        </w:tc>
        <w:tc>
          <w:tcPr>
            <w:tcW w:w="6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49,145</w:t>
            </w: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19,484</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68,837</w:t>
            </w:r>
          </w:p>
        </w:tc>
        <w:tc>
          <w:tcPr>
            <w:tcW w:w="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46,619</w:t>
            </w:r>
          </w:p>
        </w:tc>
        <w:tc>
          <w:tcPr>
            <w:tcW w:w="6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148,325</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97"/>
        </w:trPr>
        <w:tc>
          <w:tcPr>
            <w:tcW w:w="52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EARNINGS PER SHARE</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30"/>
        </w:trPr>
        <w:tc>
          <w:tcPr>
            <w:tcW w:w="52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0.37</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1.03</w:t>
            </w:r>
          </w:p>
        </w:tc>
        <w:tc>
          <w:tcPr>
            <w:tcW w:w="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0.86</w:t>
            </w:r>
          </w:p>
        </w:tc>
        <w:tc>
          <w:tcPr>
            <w:tcW w:w="6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23"/>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Assuming Dilution</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0.37</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1.02</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0.86</w:t>
            </w:r>
          </w:p>
        </w:tc>
        <w:tc>
          <w:tcPr>
            <w:tcW w:w="60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37"/>
        </w:trPr>
        <w:tc>
          <w:tcPr>
            <w:tcW w:w="5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52,880</w:t>
            </w:r>
          </w:p>
        </w:tc>
        <w:tc>
          <w:tcPr>
            <w:tcW w:w="320" w:type="dxa"/>
            <w:vAlign w:val="bottom"/>
          </w:tcPr>
          <w:p>
            <w:pPr>
              <w:spacing w:after="0"/>
              <w:rPr>
                <w:sz w:val="19"/>
                <w:szCs w:val="19"/>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67,011</w:t>
            </w:r>
          </w:p>
        </w:tc>
        <w:tc>
          <w:tcPr>
            <w:tcW w:w="40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54,134</w:t>
            </w:r>
          </w:p>
        </w:tc>
        <w:tc>
          <w:tcPr>
            <w:tcW w:w="6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67,368</w:t>
            </w:r>
          </w:p>
        </w:tc>
      </w:tr>
      <w:tr>
        <w:trPr>
          <w:trHeight w:val="230"/>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Assuming Dilution</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52,961</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67,329</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54,326</w:t>
            </w: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67,792</w:t>
            </w:r>
          </w:p>
        </w:tc>
      </w:tr>
    </w:tbl>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(Unaudited)</w:t>
      </w:r>
    </w:p>
    <w:p>
      <w:pPr>
        <w:spacing w:after="0" w:line="106"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4831715</wp:posOffset>
            </wp:positionH>
            <wp:positionV relativeFrom="paragraph">
              <wp:posOffset>13335</wp:posOffset>
            </wp:positionV>
            <wp:extent cx="22720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72030" cy="8255"/>
                    </a:xfrm>
                    <a:prstGeom prst="rect">
                      <a:avLst/>
                    </a:prstGeom>
                    <a:noFill/>
                  </pic:spPr>
                </pic:pic>
              </a:graphicData>
            </a:graphic>
          </wp:anchor>
        </w:drawing>
      </w:r>
    </w:p>
    <w:p>
      <w:pPr>
        <w:spacing w:after="0" w:line="4" w:lineRule="exact"/>
        <w:rPr>
          <w:sz w:val="20"/>
          <w:szCs w:val="20"/>
          <w:color w:val="auto"/>
        </w:rPr>
      </w:pPr>
    </w:p>
    <w:p>
      <w:pPr>
        <w:jc w:val="both"/>
        <w:ind w:left="8340"/>
        <w:spacing w:after="0"/>
        <w:tabs>
          <w:tab w:leader="none" w:pos="1016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33655</wp:posOffset>
            </wp:positionV>
            <wp:extent cx="71151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5"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4"/>
          <w:szCs w:val="14"/>
          <w:b w:val="1"/>
          <w:bCs w:val="1"/>
          <w:color w:val="auto"/>
        </w:rPr>
        <w:t>(In Thousands)</w:t>
      </w:r>
    </w:p>
    <w:p>
      <w:pPr>
        <w:sectPr>
          <w:pgSz w:w="11900" w:h="16838" w:orient="portrait"/>
          <w:cols w:equalWidth="0" w:num="1">
            <w:col w:w="11180"/>
          </w:cols>
          <w:pgMar w:left="360" w:top="1103" w:right="359" w:bottom="1440" w:gutter="0" w:footer="0" w:header="0"/>
        </w:sectPr>
      </w:pP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-114935</wp:posOffset>
            </wp:positionV>
            <wp:extent cx="7115175"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Net Earnings</w:t>
      </w:r>
    </w:p>
    <w:p>
      <w:pPr>
        <w:spacing w:after="0" w:line="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Adjustments to Reconcile Net Earnings to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-116205</wp:posOffset>
            </wp:positionV>
            <wp:extent cx="7115175"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Depreciation of Lease Merchandise</w:t>
      </w:r>
    </w:p>
    <w:p>
      <w:pPr>
        <w:spacing w:after="0" w:line="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Other 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-116205</wp:posOffset>
            </wp:positionV>
            <wp:extent cx="7115175"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Provisions for Accounts Receivable and Loan Losses</w:t>
      </w:r>
    </w:p>
    <w:p>
      <w:pPr>
        <w:spacing w:after="0" w:line="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-116205</wp:posOffset>
            </wp:positionV>
            <wp:extent cx="7115175"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Deferred Income Taxes</w:t>
      </w:r>
    </w:p>
    <w:p>
      <w:pPr>
        <w:spacing w:after="0" w:line="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Non-Cash Lease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-116205</wp:posOffset>
            </wp:positionV>
            <wp:extent cx="7115175"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Other Changes, Net</w:t>
      </w:r>
    </w:p>
    <w:p>
      <w:pPr>
        <w:spacing w:after="0" w:line="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Changes in Operating Assets and Liabilities, Net of Effects of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-116205</wp:posOffset>
            </wp:positionV>
            <wp:extent cx="7115175"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Additions to Lease Merchandise</w:t>
      </w:r>
    </w:p>
    <w:p>
      <w:pPr>
        <w:spacing w:after="0" w:line="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Book Value of Lease Merchandise Sold or Disposed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-116205</wp:posOffset>
            </wp:positionV>
            <wp:extent cx="7115175"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Accounts Receivable</w:t>
      </w:r>
    </w:p>
    <w:p>
      <w:pPr>
        <w:spacing w:after="0" w:line="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Prepaid Expenses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-116205</wp:posOffset>
            </wp:positionV>
            <wp:extent cx="7115175"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Income Tax Receivable and Payable</w:t>
      </w:r>
    </w:p>
    <w:p>
      <w:pPr>
        <w:spacing w:after="0" w:line="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Operating Lease Right-of-Use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-116205</wp:posOffset>
            </wp:positionV>
            <wp:extent cx="7115175"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Accounts Payable and Accrued Expenses</w:t>
      </w:r>
    </w:p>
    <w:p>
      <w:pPr>
        <w:spacing w:after="0" w:line="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Customer Deposits and Advance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-116205</wp:posOffset>
            </wp:positionV>
            <wp:extent cx="7115175"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Cash Provided by Operating Activities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-114935</wp:posOffset>
            </wp:positionV>
            <wp:extent cx="7115175"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Investments in Loans Receivable</w:t>
      </w:r>
    </w:p>
    <w:p>
      <w:pPr>
        <w:spacing w:after="0" w:line="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Proceeds from Loans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-116205</wp:posOffset>
            </wp:positionV>
            <wp:extent cx="7115175"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Outflows on Purchases of Property and Equipment</w:t>
      </w:r>
    </w:p>
    <w:p>
      <w:pPr>
        <w:spacing w:after="0" w:line="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Proceeds from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-116205</wp:posOffset>
            </wp:positionV>
            <wp:extent cx="7115175"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Proceeds (Outflows) from Acquisitions of Businesses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-116205</wp:posOffset>
            </wp:positionV>
            <wp:extent cx="7115175"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FINANCING ACTIVITIES:</w:t>
      </w:r>
    </w:p>
    <w:p>
      <w:pPr>
        <w:spacing w:after="0" w:line="3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Acquisition of Treasury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-116205</wp:posOffset>
            </wp:positionV>
            <wp:extent cx="7115175"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Tender Offer Shares Repurchased and Retired</w:t>
      </w:r>
    </w:p>
    <w:p>
      <w:pPr>
        <w:spacing w:after="0" w:line="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Issuance of Stock Under Stock Option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-116205</wp:posOffset>
            </wp:positionV>
            <wp:extent cx="7115175"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Shares Withheld for Tax Payments</w:t>
      </w:r>
    </w:p>
    <w:p>
      <w:pPr>
        <w:spacing w:after="0" w:line="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-116205</wp:posOffset>
            </wp:positionV>
            <wp:extent cx="7115175"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Cash Used in Financing Activities</w:t>
      </w:r>
    </w:p>
    <w:p>
      <w:pPr>
        <w:spacing w:after="0" w:line="4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(Decrease)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-116205</wp:posOffset>
            </wp:positionV>
            <wp:extent cx="7115175"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2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p>
      <w:pPr>
        <w:spacing w:after="0" w:line="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Cash and Cash Equivalents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-116205</wp:posOffset>
            </wp:positionV>
            <wp:extent cx="7115175"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5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Net Cash Paid During the Period:</w:t>
      </w:r>
    </w:p>
    <w:p>
      <w:pPr>
        <w:spacing w:after="0" w:line="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-116205</wp:posOffset>
            </wp:positionV>
            <wp:extent cx="7115175"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Income Taxes</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6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46,619</w:t>
            </w:r>
          </w:p>
        </w:tc>
        <w:tc>
          <w:tcPr>
            <w:tcW w:w="64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148,325</w:t>
            </w:r>
          </w:p>
        </w:tc>
      </w:tr>
      <w:tr>
        <w:trPr>
          <w:trHeight w:val="432"/>
        </w:trPr>
        <w:tc>
          <w:tcPr>
            <w:tcW w:w="600" w:type="dxa"/>
            <w:vAlign w:val="bottom"/>
          </w:tcPr>
          <w:p>
            <w:pPr>
              <w:spacing w:after="0"/>
              <w:rPr>
                <w:sz w:val="24"/>
                <w:szCs w:val="24"/>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936,124</w:t>
            </w:r>
          </w:p>
        </w:tc>
        <w:tc>
          <w:tcPr>
            <w:tcW w:w="6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944,715</w:t>
            </w:r>
          </w:p>
        </w:tc>
      </w:tr>
      <w:tr>
        <w:trPr>
          <w:trHeight w:val="216"/>
        </w:trPr>
        <w:tc>
          <w:tcPr>
            <w:tcW w:w="60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17,021</w:t>
            </w:r>
          </w:p>
        </w:tc>
        <w:tc>
          <w:tcPr>
            <w:tcW w:w="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14,247</w:t>
            </w:r>
          </w:p>
        </w:tc>
      </w:tr>
      <w:tr>
        <w:trPr>
          <w:trHeight w:val="216"/>
        </w:trPr>
        <w:tc>
          <w:tcPr>
            <w:tcW w:w="60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201,980</w:t>
            </w:r>
          </w:p>
        </w:tc>
        <w:tc>
          <w:tcPr>
            <w:tcW w:w="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87,114</w:t>
            </w:r>
          </w:p>
        </w:tc>
      </w:tr>
      <w:tr>
        <w:trPr>
          <w:trHeight w:val="216"/>
        </w:trPr>
        <w:tc>
          <w:tcPr>
            <w:tcW w:w="60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9,040</w:t>
            </w:r>
          </w:p>
        </w:tc>
        <w:tc>
          <w:tcPr>
            <w:tcW w:w="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8,137</w:t>
            </w:r>
          </w:p>
        </w:tc>
      </w:tr>
      <w:tr>
        <w:trPr>
          <w:trHeight w:val="216"/>
        </w:trPr>
        <w:tc>
          <w:tcPr>
            <w:tcW w:w="6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11,001</w:t>
            </w:r>
          </w:p>
        </w:tc>
      </w:tr>
      <w:tr>
        <w:trPr>
          <w:trHeight w:val="216"/>
        </w:trPr>
        <w:tc>
          <w:tcPr>
            <w:tcW w:w="60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549</w:t>
            </w:r>
          </w:p>
        </w:tc>
        <w:tc>
          <w:tcPr>
            <w:tcW w:w="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w:t>
            </w:r>
          </w:p>
        </w:tc>
      </w:tr>
      <w:tr>
        <w:trPr>
          <w:trHeight w:val="216"/>
        </w:trPr>
        <w:tc>
          <w:tcPr>
            <w:tcW w:w="6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(3,748)</w:t>
            </w:r>
          </w:p>
        </w:tc>
        <w:tc>
          <w:tcPr>
            <w:tcW w:w="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(1,180)</w:t>
            </w:r>
          </w:p>
        </w:tc>
      </w:tr>
      <w:tr>
        <w:trPr>
          <w:trHeight w:val="432"/>
        </w:trPr>
        <w:tc>
          <w:tcPr>
            <w:tcW w:w="6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(951,751)</w:t>
            </w:r>
          </w:p>
        </w:tc>
        <w:tc>
          <w:tcPr>
            <w:tcW w:w="6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(974,271)</w:t>
            </w:r>
          </w:p>
        </w:tc>
      </w:tr>
      <w:tr>
        <w:trPr>
          <w:trHeight w:val="216"/>
        </w:trPr>
        <w:tc>
          <w:tcPr>
            <w:tcW w:w="60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114,427</w:t>
            </w:r>
          </w:p>
        </w:tc>
        <w:tc>
          <w:tcPr>
            <w:tcW w:w="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52,089</w:t>
            </w:r>
          </w:p>
        </w:tc>
      </w:tr>
      <w:tr>
        <w:trPr>
          <w:trHeight w:val="216"/>
        </w:trPr>
        <w:tc>
          <w:tcPr>
            <w:tcW w:w="6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(188,921)</w:t>
            </w:r>
          </w:p>
        </w:tc>
        <w:tc>
          <w:tcPr>
            <w:tcW w:w="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(72,070)</w:t>
            </w:r>
          </w:p>
        </w:tc>
      </w:tr>
      <w:tr>
        <w:trPr>
          <w:trHeight w:val="216"/>
        </w:trPr>
        <w:tc>
          <w:tcPr>
            <w:tcW w:w="6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(5,216)</w:t>
            </w:r>
          </w:p>
        </w:tc>
        <w:tc>
          <w:tcPr>
            <w:tcW w:w="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r>
      <w:tr>
        <w:trPr>
          <w:trHeight w:val="216"/>
        </w:trPr>
        <w:tc>
          <w:tcPr>
            <w:tcW w:w="6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6"/>
        </w:trPr>
        <w:tc>
          <w:tcPr>
            <w:tcW w:w="6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(895)</w:t>
            </w:r>
          </w:p>
        </w:tc>
      </w:tr>
      <w:tr>
        <w:trPr>
          <w:trHeight w:val="216"/>
        </w:trPr>
        <w:tc>
          <w:tcPr>
            <w:tcW w:w="6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(9,841)</w:t>
            </w:r>
          </w:p>
        </w:tc>
        <w:tc>
          <w:tcPr>
            <w:tcW w:w="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23,552</w:t>
            </w:r>
          </w:p>
        </w:tc>
      </w:tr>
      <w:tr>
        <w:trPr>
          <w:trHeight w:val="219"/>
        </w:trPr>
        <w:tc>
          <w:tcPr>
            <w:tcW w:w="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(8,873)</w:t>
            </w:r>
          </w:p>
        </w:tc>
        <w:tc>
          <w:tcPr>
            <w:tcW w:w="6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(2,473)</w:t>
            </w:r>
          </w:p>
        </w:tc>
      </w:tr>
      <w:tr>
        <w:trPr>
          <w:trHeight w:val="210"/>
        </w:trPr>
        <w:tc>
          <w:tcPr>
            <w:tcW w:w="6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155,742</w:t>
            </w:r>
          </w:p>
        </w:tc>
        <w:tc>
          <w:tcPr>
            <w:tcW w:w="6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238,841</w:t>
            </w:r>
          </w:p>
        </w:tc>
      </w:tr>
      <w:tr>
        <w:trPr>
          <w:trHeight w:val="409"/>
        </w:trPr>
        <w:tc>
          <w:tcPr>
            <w:tcW w:w="6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(92,741)</w:t>
            </w:r>
          </w:p>
        </w:tc>
        <w:tc>
          <w:tcPr>
            <w:tcW w:w="6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(94,129)</w:t>
            </w:r>
          </w:p>
        </w:tc>
      </w:tr>
      <w:tr>
        <w:trPr>
          <w:trHeight w:val="216"/>
        </w:trPr>
        <w:tc>
          <w:tcPr>
            <w:tcW w:w="60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76,244</w:t>
            </w:r>
          </w:p>
        </w:tc>
        <w:tc>
          <w:tcPr>
            <w:tcW w:w="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62,938</w:t>
            </w:r>
          </w:p>
        </w:tc>
      </w:tr>
      <w:tr>
        <w:trPr>
          <w:trHeight w:val="216"/>
        </w:trPr>
        <w:tc>
          <w:tcPr>
            <w:tcW w:w="6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(5,494)</w:t>
            </w:r>
          </w:p>
        </w:tc>
        <w:tc>
          <w:tcPr>
            <w:tcW w:w="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(4,781)</w:t>
            </w:r>
          </w:p>
        </w:tc>
      </w:tr>
      <w:tr>
        <w:trPr>
          <w:trHeight w:val="216"/>
        </w:trPr>
        <w:tc>
          <w:tcPr>
            <w:tcW w:w="60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w:t>
            </w:r>
          </w:p>
        </w:tc>
        <w:tc>
          <w:tcPr>
            <w:tcW w:w="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19"/>
        </w:trPr>
        <w:tc>
          <w:tcPr>
            <w:tcW w:w="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c>
          <w:tcPr>
            <w:tcW w:w="6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(22,749)</w:t>
            </w:r>
          </w:p>
        </w:tc>
      </w:tr>
      <w:tr>
        <w:trPr>
          <w:trHeight w:val="210"/>
        </w:trPr>
        <w:tc>
          <w:tcPr>
            <w:tcW w:w="6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(21,967)</w:t>
            </w:r>
          </w:p>
        </w:tc>
        <w:tc>
          <w:tcPr>
            <w:tcW w:w="6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(58,676)</w:t>
            </w:r>
          </w:p>
        </w:tc>
      </w:tr>
      <w:tr>
        <w:trPr>
          <w:trHeight w:val="409"/>
        </w:trPr>
        <w:tc>
          <w:tcPr>
            <w:tcW w:w="6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(176,475)</w:t>
            </w:r>
          </w:p>
        </w:tc>
        <w:tc>
          <w:tcPr>
            <w:tcW w:w="6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(77,196)</w:t>
            </w:r>
          </w:p>
        </w:tc>
      </w:tr>
      <w:tr>
        <w:trPr>
          <w:trHeight w:val="216"/>
        </w:trPr>
        <w:tc>
          <w:tcPr>
            <w:tcW w:w="60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199</w:t>
            </w:r>
          </w:p>
        </w:tc>
        <w:tc>
          <w:tcPr>
            <w:tcW w:w="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60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663</w:t>
            </w:r>
          </w:p>
        </w:tc>
        <w:tc>
          <w:tcPr>
            <w:tcW w:w="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2,856</w:t>
            </w:r>
          </w:p>
        </w:tc>
      </w:tr>
      <w:tr>
        <w:trPr>
          <w:trHeight w:val="216"/>
        </w:trPr>
        <w:tc>
          <w:tcPr>
            <w:tcW w:w="6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(2,516)</w:t>
            </w:r>
          </w:p>
        </w:tc>
        <w:tc>
          <w:tcPr>
            <w:tcW w:w="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(4,921)</w:t>
            </w:r>
          </w:p>
        </w:tc>
      </w:tr>
      <w:tr>
        <w:trPr>
          <w:trHeight w:val="219"/>
        </w:trPr>
        <w:tc>
          <w:tcPr>
            <w:tcW w:w="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1,535</w:t>
            </w:r>
          </w:p>
        </w:tc>
        <w:tc>
          <w:tcPr>
            <w:tcW w:w="6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6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(176,594)</w:t>
            </w:r>
          </w:p>
        </w:tc>
        <w:tc>
          <w:tcPr>
            <w:tcW w:w="6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(79,261)</w:t>
            </w:r>
          </w:p>
        </w:tc>
      </w:tr>
      <w:tr>
        <w:trPr>
          <w:trHeight w:val="207"/>
        </w:trPr>
        <w:tc>
          <w:tcPr>
            <w:tcW w:w="6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(42,819)</w:t>
            </w:r>
          </w:p>
        </w:tc>
        <w:tc>
          <w:tcPr>
            <w:tcW w:w="6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100,904</w:t>
            </w:r>
          </w:p>
        </w:tc>
      </w:tr>
      <w:tr>
        <w:trPr>
          <w:trHeight w:val="219"/>
        </w:trPr>
        <w:tc>
          <w:tcPr>
            <w:tcW w:w="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170,159</w:t>
            </w:r>
          </w:p>
        </w:tc>
        <w:tc>
          <w:tcPr>
            <w:tcW w:w="6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36,645</w:t>
            </w:r>
          </w:p>
        </w:tc>
      </w:tr>
      <w:tr>
        <w:trPr>
          <w:trHeight w:val="210"/>
        </w:trPr>
        <w:tc>
          <w:tcPr>
            <w:tcW w:w="6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127,340</w:t>
            </w:r>
          </w:p>
        </w:tc>
        <w:tc>
          <w:tcPr>
            <w:tcW w:w="6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137,549</w:t>
            </w:r>
          </w:p>
        </w:tc>
      </w:tr>
      <w:tr>
        <w:trPr>
          <w:trHeight w:val="23"/>
        </w:trPr>
        <w:tc>
          <w:tcPr>
            <w:tcW w:w="6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93"/>
        </w:trPr>
        <w:tc>
          <w:tcPr>
            <w:tcW w:w="6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17,085</w:t>
            </w:r>
          </w:p>
        </w:tc>
        <w:tc>
          <w:tcPr>
            <w:tcW w:w="64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w:t>
            </w:r>
          </w:p>
        </w:tc>
      </w:tr>
      <w:tr>
        <w:trPr>
          <w:trHeight w:val="216"/>
        </w:trPr>
        <w:tc>
          <w:tcPr>
            <w:tcW w:w="6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19,475</w:t>
            </w:r>
          </w:p>
        </w:tc>
        <w:tc>
          <w:tcPr>
            <w:tcW w:w="64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23,539</w:t>
            </w:r>
          </w:p>
        </w:tc>
      </w:tr>
    </w:tbl>
    <w:p>
      <w:pPr>
        <w:spacing w:after="0" w:line="134" w:lineRule="exact"/>
        <w:rPr>
          <w:sz w:val="20"/>
          <w:szCs w:val="20"/>
          <w:color w:val="auto"/>
        </w:rPr>
      </w:pPr>
    </w:p>
    <w:p>
      <w:pPr>
        <w:sectPr>
          <w:pgSz w:w="11900" w:h="16838" w:orient="portrait"/>
          <w:cols w:equalWidth="0" w:num="2">
            <w:col w:w="6880" w:space="720"/>
            <w:col w:w="3580"/>
          </w:cols>
          <w:pgMar w:left="360" w:top="1103" w:right="35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 Condensed Consolidated Financial Statements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103" w:right="359" w:bottom="1440" w:gutter="0" w:footer="0" w:header="0"/>
          <w:type w:val="continuous"/>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AND SUMMARY OF SIGNIFICANT ACCOUNTING POLICIES</w:t>
      </w:r>
    </w:p>
    <w:p>
      <w:pPr>
        <w:spacing w:after="0" w:line="17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As described elsewhere in this Quarterly Report on Form 10-Q, the Coronavirus Disease ("COVID-19") pandemic and the rampant increase in inflation has led to significant market uncertainty and disruption and has impacted many aspects of our businesses and operations, directly and indirectly. Throughout these notes to the condensed consolidated financial statements, the impacts of the COVID-19 pandemic and inflation on the financial results for the three and six months ended June 30, 2022 and 2021 have been identified under the respective sections. For a discussion of customer payment trends and significant estimates made by management regarding allowances for lease merchandise, accounts receivable, and loans receivable, as well as the impacts COVID-19 and supply chain disruptions had on generating new lease and loan originations during the three and six months ended June 30, 2022 and 2021, see Item 2. "Management’s Discussion and Analysis of Financial Condition and Results of Operations," including the "COVID-19 Pandemic," "Results of Operations," and "Liquidity and Capital Resources" below.</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94" w:lineRule="exact"/>
        <w:rPr>
          <w:sz w:val="20"/>
          <w:szCs w:val="20"/>
          <w:color w:val="auto"/>
        </w:rPr>
      </w:pPr>
    </w:p>
    <w:p>
      <w:pPr>
        <w:jc w:val="both"/>
        <w:ind w:right="120"/>
        <w:spacing w:after="0" w:line="289" w:lineRule="auto"/>
        <w:rPr>
          <w:sz w:val="20"/>
          <w:szCs w:val="20"/>
          <w:color w:val="auto"/>
        </w:rPr>
      </w:pPr>
      <w:r>
        <w:rPr>
          <w:rFonts w:ascii="Times New Roman" w:cs="Times New Roman" w:eastAsia="Times New Roman" w:hAnsi="Times New Roman"/>
          <w:sz w:val="17"/>
          <w:szCs w:val="17"/>
          <w:color w:val="auto"/>
        </w:rPr>
        <w:t>PROG Holdings, Inc. ("we," "our," "us," the "Company," or "PROG Holdings") is a financial technology holding company that provides leading financial solutions to empower consumers and retailers. PROG Holdings has two reportable segments: (i) Progressive Leasing, an e-commerce, app-based, and in-store point-of-sale lease-to-own solutions provider; and (ii) Vive Financial ("Vive"), an omnichannel provider of second-look revolving credit products.</w:t>
      </w:r>
    </w:p>
    <w:p>
      <w:pPr>
        <w:spacing w:after="0" w:line="3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Progressive Leasing segment provides consumers with lease-purchase solutions through its point-of-sale partner locations and e-commerce website partners in the United States (collectively, "POS partners"). It does so by purchasing merchandise from the POS partners desired by customers and, in turn, leasing that merchandise to the customers through a cancellable lease-to-own transaction. Progressive Leasing has no stores of its own, but rather offers lease-purchase solutions to the customers of traditional and e-commerce retailers.</w:t>
      </w:r>
    </w:p>
    <w:p>
      <w:pPr>
        <w:spacing w:after="0" w:line="5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Vive segment primarily serves customers that may not qualify for traditional prime lending offers who desire to purchase goods and services from participating merchants. Vive offers customized programs, with services that include revolving loans through private label and Vive-branded credit cards. Vive's current network of POS partner locations and e-commerce websites includes furniture, mattresses, home exercise equipment, and home improvement retailers, as well as medical and dental service providers.</w:t>
      </w:r>
    </w:p>
    <w:p>
      <w:pPr>
        <w:spacing w:after="0" w:line="4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On June 25, 2021, the Company completed the acquisition of Four Technologies, Inc. ("Four"), an innovative Buy Now, Pay Later company that allows shoppers to pay for merchandise through four interest-free installments. Four’s proprietary platform capabilities and its base of customers and retailers expand PROG Holdings’ ecosystem of financial technology offerings by introducing a payment solution that further diversifies the Company's consumer fintech offerings. Shoppers use Four to purchase furniture, clothing, electronics, health and beauty products, footwear, jewelry, and other consumer goods from retailers across the United States. Four is not a reportable segment for the three and six month periods ended June 30, 2022 and 2021 as its revenues, loss before income taxes, and assets are not material to the Company's condensed consolidated financial results.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preparation of the Company's condensed consolidated financial statements in conformity with accounting principles generally accepted in the United States ("U.S. GAAP") for interim financial information requires management to make estimates and assumptions that affect the amounts reported in these condensed consolidated financial statements and accompanying notes. Actual results could differ from those estimates. Management does not believe these estimates or assumptions will change significantly in the future absent unidentified and unforeseen events, such as possible direct or indirect impacts associated with the COVID-19 pandemic and/or increasing inflation.</w:t>
      </w:r>
    </w:p>
    <w:p>
      <w:pPr>
        <w:spacing w:after="0" w:line="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do not include all information required by U.S. GAAP for complete financial statements. In the opinion of management, all adjustments, which are of a normal recurring nature, considered necessary for a fair presentation have been included in the accompanying unaudited condensed consolidated financial statements. These condensed consolidated financial statements should be read in conjunction with the financial statements and notes thereto included in the Company's Annual Report on Form 10-K for the year ended December 31, 2021 (the "2021 Annual Report") filed with the United States Securities and Exchange Commission on February 23, 2022. The results of operations for the three and six months ended June 30, 2022 are not necessarily indicative of operating results for the full year.</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condensed consolidated financial statements include the accounts of PROG Holdings, Inc. and its subsidiaries, each of which is wholly-owned.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Intercompany balances and transactions between consolidated entities have been eliminated.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Policies and Estimates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 to the consolidated financial statements in the 2021 Annual Report for an expanded discussion of accounting policies and estimates.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10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Earnings per share is computed by dividing net earnings by the weighted average number of shares of common stock outstanding during the period. The computation of earnings per share assuming dilution includes the dilutive effect of stock options, restricted stock units ("RSUs"), restricted stock awards ("RSAs"), performance share units ("PSUs") and awards issuable under the Company's employee stock purchase plan ("ESPP") (collectively, "share-based awards") as determined under the treasury stock method. The following table shows the calculation of dilutive share-based awards: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3260" w:type="dxa"/>
            <w:vAlign w:val="bottom"/>
            <w:gridSpan w:val="2"/>
          </w:tcPr>
          <w:p>
            <w:pPr>
              <w:jc w:val="right"/>
              <w:ind w:right="775"/>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780" w:type="dxa"/>
            <w:vAlign w:val="bottom"/>
            <w:gridSpan w:val="2"/>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(Shares In Thousands)</w:t>
            </w:r>
          </w:p>
        </w:tc>
        <w:tc>
          <w:tcPr>
            <w:tcW w:w="17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00" w:type="dxa"/>
            <w:vAlign w:val="bottom"/>
            <w:tcBorders>
              <w:bottom w:val="single" w:sz="8" w:color="auto"/>
            </w:tcBorders>
            <w:vMerge w:val="continue"/>
          </w:tcPr>
          <w:p>
            <w:pPr>
              <w:spacing w:after="0"/>
              <w:rPr>
                <w:sz w:val="16"/>
                <w:szCs w:val="16"/>
                <w:color w:val="auto"/>
              </w:rPr>
            </w:pPr>
          </w:p>
        </w:tc>
        <w:tc>
          <w:tcPr>
            <w:tcW w:w="1720" w:type="dxa"/>
            <w:vAlign w:val="bottom"/>
            <w:tcBorders>
              <w:bottom w:val="single" w:sz="8" w:color="auto"/>
            </w:tcBorders>
          </w:tcPr>
          <w:p>
            <w:pPr>
              <w:jc w:val="right"/>
              <w:ind w:right="7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540" w:type="dxa"/>
            <w:vAlign w:val="bottom"/>
            <w:tcBorders>
              <w:bottom w:val="single" w:sz="8" w:color="auto"/>
            </w:tcBorders>
          </w:tcPr>
          <w:p>
            <w:pPr>
              <w:jc w:val="right"/>
              <w:ind w:right="7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540" w:type="dxa"/>
            <w:vAlign w:val="bottom"/>
            <w:tcBorders>
              <w:bottom w:val="single" w:sz="8" w:color="auto"/>
            </w:tcBorders>
          </w:tcPr>
          <w:p>
            <w:pPr>
              <w:jc w:val="right"/>
              <w:ind w:right="7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720" w:type="dxa"/>
            <w:vAlign w:val="bottom"/>
            <w:shd w:val="clear" w:color="auto" w:fill="CCEEFF"/>
          </w:tcPr>
          <w:p>
            <w:pPr>
              <w:jc w:val="right"/>
              <w:ind w:right="277"/>
              <w:spacing w:after="0"/>
              <w:rPr>
                <w:sz w:val="20"/>
                <w:szCs w:val="20"/>
                <w:color w:val="auto"/>
              </w:rPr>
            </w:pPr>
            <w:r>
              <w:rPr>
                <w:rFonts w:ascii="Times New Roman" w:cs="Times New Roman" w:eastAsia="Times New Roman" w:hAnsi="Times New Roman"/>
                <w:sz w:val="18"/>
                <w:szCs w:val="18"/>
                <w:color w:val="auto"/>
              </w:rPr>
              <w:t>52,880</w:t>
            </w:r>
          </w:p>
        </w:tc>
        <w:tc>
          <w:tcPr>
            <w:tcW w:w="154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67,011</w:t>
            </w:r>
          </w:p>
        </w:tc>
        <w:tc>
          <w:tcPr>
            <w:tcW w:w="1540" w:type="dxa"/>
            <w:vAlign w:val="bottom"/>
            <w:shd w:val="clear" w:color="auto" w:fill="CCEEFF"/>
          </w:tcPr>
          <w:p>
            <w:pPr>
              <w:jc w:val="right"/>
              <w:ind w:right="297"/>
              <w:spacing w:after="0"/>
              <w:rPr>
                <w:sz w:val="20"/>
                <w:szCs w:val="20"/>
                <w:color w:val="auto"/>
              </w:rPr>
            </w:pPr>
            <w:r>
              <w:rPr>
                <w:rFonts w:ascii="Times New Roman" w:cs="Times New Roman" w:eastAsia="Times New Roman" w:hAnsi="Times New Roman"/>
                <w:sz w:val="18"/>
                <w:szCs w:val="18"/>
                <w:color w:val="auto"/>
              </w:rPr>
              <w:t>54,134</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67,368</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Dilutive Effect of Share-Based Awards</w:t>
            </w:r>
          </w:p>
        </w:tc>
        <w:tc>
          <w:tcPr>
            <w:tcW w:w="172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8"/>
                <w:szCs w:val="18"/>
                <w:color w:val="auto"/>
              </w:rPr>
              <w:t>81</w:t>
            </w:r>
          </w:p>
        </w:tc>
        <w:tc>
          <w:tcPr>
            <w:tcW w:w="154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8"/>
                <w:szCs w:val="18"/>
                <w:color w:val="auto"/>
              </w:rPr>
              <w:t>318</w:t>
            </w:r>
          </w:p>
        </w:tc>
        <w:tc>
          <w:tcPr>
            <w:tcW w:w="154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8"/>
                <w:szCs w:val="18"/>
                <w:color w:val="auto"/>
              </w:rPr>
              <w:t>192</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Assuming Dilution</w:t>
            </w:r>
          </w:p>
        </w:tc>
        <w:tc>
          <w:tcPr>
            <w:tcW w:w="1720" w:type="dxa"/>
            <w:vAlign w:val="bottom"/>
            <w:tcBorders>
              <w:bottom w:val="single" w:sz="8" w:color="auto"/>
            </w:tcBorders>
            <w:shd w:val="clear" w:color="auto" w:fill="CCEEFF"/>
          </w:tcPr>
          <w:p>
            <w:pPr>
              <w:jc w:val="right"/>
              <w:ind w:right="277"/>
              <w:spacing w:after="0"/>
              <w:rPr>
                <w:sz w:val="20"/>
                <w:szCs w:val="20"/>
                <w:color w:val="auto"/>
              </w:rPr>
            </w:pPr>
            <w:r>
              <w:rPr>
                <w:rFonts w:ascii="Times New Roman" w:cs="Times New Roman" w:eastAsia="Times New Roman" w:hAnsi="Times New Roman"/>
                <w:sz w:val="18"/>
                <w:szCs w:val="18"/>
                <w:color w:val="auto"/>
              </w:rPr>
              <w:t>52,961</w:t>
            </w:r>
          </w:p>
        </w:tc>
        <w:tc>
          <w:tcPr>
            <w:tcW w:w="1540" w:type="dxa"/>
            <w:vAlign w:val="bottom"/>
            <w:tcBorders>
              <w:bottom w:val="single" w:sz="8" w:color="auto"/>
            </w:tcBorders>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67,329</w:t>
            </w:r>
          </w:p>
        </w:tc>
        <w:tc>
          <w:tcPr>
            <w:tcW w:w="1540" w:type="dxa"/>
            <w:vAlign w:val="bottom"/>
            <w:tcBorders>
              <w:bottom w:val="single" w:sz="8" w:color="auto"/>
            </w:tcBorders>
            <w:shd w:val="clear" w:color="auto" w:fill="CCEEFF"/>
          </w:tcPr>
          <w:p>
            <w:pPr>
              <w:jc w:val="right"/>
              <w:ind w:right="297"/>
              <w:spacing w:after="0"/>
              <w:rPr>
                <w:sz w:val="20"/>
                <w:szCs w:val="20"/>
                <w:color w:val="auto"/>
              </w:rPr>
            </w:pPr>
            <w:r>
              <w:rPr>
                <w:rFonts w:ascii="Times New Roman" w:cs="Times New Roman" w:eastAsia="Times New Roman" w:hAnsi="Times New Roman"/>
                <w:sz w:val="18"/>
                <w:szCs w:val="18"/>
                <w:color w:val="auto"/>
              </w:rPr>
              <w:t>54,326</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67,792</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Approximately 1,546,000 and 1,316,000 weighted-average share-based awards were excluded from the computation of earnings per share assuming dilution during the three and six months ended June 30, 2022, respectively, as the awards would have been anti-dilutive for the periods presented.</w:t>
      </w:r>
    </w:p>
    <w:p>
      <w:pPr>
        <w:spacing w:after="0" w:line="4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Approximately 379,000 and 334,000 weighted-average share-based awards were excluded from the computation of earnings per share assuming dilution during the three and six months ended June 30, 2021, respectively, as the awards would have been anti-dilutive for the periods presented.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Revenues and Fees</w:t>
      </w:r>
    </w:p>
    <w:p>
      <w:pPr>
        <w:spacing w:after="0" w:line="106"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Progressive Leasing provides merchandise, consisting primarily of furniture, appliances, electronics, jewelry, mobile phones and accessories, mattresses, automobile electronics and accessories, and a variety of other products, to its customers for lease under terms agreed to by the customer. Progressive Leasing offers customers of traditional and e-commerce retailers a lease-purchase solution through leases with payment terms that can generally be renewed up to 12 months. Progressive Leasing does not require deposits upon inception of customer agreements. The customer has the right to acquire ownership either through early buyout options or through payment of all required lease payments. The agreements are cancellable at any time by either party without penalty.</w:t>
      </w:r>
    </w:p>
    <w:p>
      <w:pPr>
        <w:spacing w:after="0" w:line="5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All of Progressive Leasing's customer agreements are considered operating leases. The Company maintains ownership of the lease merchandise until all payment obligations are satisfied under the lease ownership agreements. Initial lease payments made by the customer upon lease execution are recognized as deferred revenue and are amortized as lease revenue over the estimated lease term on a straight-line basis. All other customer lease billings are earned prior to the lease payment due date and are recorded net of related sales taxes as earned. Payment due date terms include weekly, bi-weekly, semi-monthly and monthly frequencies. Initial lease payments and other cash collected in advance of being due or earned are recognized as deferred revenue within customer deposits and advance payments in the accompanying condensed consolidated balance sheets. Revenue recorded prior to the payment due date results in unbilled receivables recognized in accounts receivable, net of allowances, in the accompanying condensed consolidated balance sheets. Lease revenues are recorded net of a provision for uncollectible renewal payments.</w:t>
      </w:r>
    </w:p>
    <w:p>
      <w:pPr>
        <w:spacing w:after="0" w:line="7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Initial direct costs related to lease purchase agreements are capitalized as incurred and amortized as operating expense over the estimated lease term. The capitalized costs have been classified within prepaid expenses and other assets in the accompanying condensed consolidated balance sheets.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Fees on Loans Receivable</w:t>
      </w:r>
    </w:p>
    <w:p>
      <w:pPr>
        <w:spacing w:after="0" w:line="10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Interest and fees on loans receivable is primarily generated from our Vive segment. Vive extends or declines credit to an applicant through its bank partners based upon the applicant's credit rating and other factors. Qualifying applicants receive a credit card to finance their initial purchase and to use in subsequent purchases at the merchant or other participating merchants for an initial 24-month period, which Vive may renew if the cardholder remains in good standing.</w:t>
      </w:r>
    </w:p>
    <w:p>
      <w:pPr>
        <w:spacing w:after="0" w:line="4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Vive acquires the loan receivable from its third-party bank partners at a discount from the face value of the loan. The discount is comprised of a merchant fee discount and a promotional fee discount, if applicable.</w:t>
      </w:r>
    </w:p>
    <w:p>
      <w:pPr>
        <w:spacing w:after="0" w:line="4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merchant fee discount represents a pre-negotiated, nonrefundable discount that generally ranges from 3% to 25% of the loan face value. The discount is designed to cover the risk of loss related to the portfolio of cardholder charges and Vive's direct origination costs. The merchant fee discount and origination costs are presented net on the condensed consolidated balance sheets in loans receivable. Cardholders generally have an initial 24-month period that the card is active. The merchant fee discount, net of the origination costs, is amortized on a net basis and is recorded as interest and fee revenue on loans receivable in the condensed consolidated statements of earnings on a straight-line basis over the initial 24-month period.</w:t>
      </w:r>
    </w:p>
    <w:p>
      <w:pPr>
        <w:spacing w:after="0" w:line="6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discount from the face value of the loan on the acquisition of the loan receivable from the merchant through the third-party bank partners may also include a promotional fee discount, which generally ranges from 1% to 8%. The promotional fee discount is intended to compensate the holder of the loan receivable (i.e., Vive) for deferred or reduced interest rates that are offered to the cardholder for a specified period on the outstanding loan balance (generally for six, 12 or 18 months). The promotional fee discount is amortized as interest and fee revenue on loans receivable in the condensed consolidated statements of earnings on a straight-line basis over the promotional interest period (i.e., over six, 12 or 18 months, depending on the promotion). The unamortized promotional fee discount is presented net on the condensed consolidated balance sheets in loans receivable.</w:t>
      </w:r>
    </w:p>
    <w:p>
      <w:pPr>
        <w:spacing w:after="0" w:line="5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customer is typically required to make monthly minimum payments of at least 3.5% of the outstanding loan balance, which includes outstanding interest. Fixed and variable interest rates, typically 27% to 35.99%, are compounded daily for cards that do not qualify for deferred or reduced interest promotional periods. Interest income, which is recognized based upon the amount of the loans outstanding, is recognized as interest and fees on loans receivable when earned if collectibility is reasonably assured. For credit cards that provide deferred interest, if the balance is not paid off during the promotional period or if the cardholder defaults, interest is billed to the customers at standard rates and the cumulative amount owed is charged to the cardholder account in the month that the promotional period expires. For credit cards that provide reduced interest, if the balance is not paid off during the promotional period, interest is billed to the cardholder at standard rates in the month that the promotional period expires or when the cardholder defaults. The Company recognizes interest revenue during the promotional period based on its historical experience related to cardholders that fail to pay off balances during the promotional period if collectibility is reasonably assured.</w:t>
      </w:r>
    </w:p>
    <w:p>
      <w:pPr>
        <w:spacing w:after="0" w:line="6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Annual fees are charged to cardholders at the commencement of the loan and on each subsequent anniversary date. Annual fees are deferred and recognized into revenue on a straight-line basis over a one-year period. Under the provisions of the credit card agreements, Vive also may assess fees for missed or late payments, which are recognized as interest and fee revenue in the billing period in which they are assessed if collectibility is reasonably assured. Annual fees and other fees are recognized as interest and fee revenue on loans receivable in the condensed consolidated statements of earnings.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0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Accounts receivable consist primarily of receivables due from customers of Progressive Leasing and amounted to $69.7 million and $66.3 million, net of allowances, as of June 30, 2022 and December 31, 2021, respectively.</w:t>
      </w:r>
    </w:p>
    <w:p>
      <w:pPr>
        <w:spacing w:after="0" w:line="2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Company maintains an accounts receivable allowance, which primarily relates to its Progressive Leasing operations and, to a lesser extent, receivables from Vive's POS partners. The Company’s policy is to record an allowance for uncollectible renewal payments based on historical collection experience. Other qualitative factors are considered in estimating the allowance, such as current and forecasted business trends including, but not limited to, the potential unfavorable impacts of the significant increase in inflation and the COVID-19 pandemic on our businesses. Given the significant uncertainty regarding the impacts of increasing inflation and the COVID-19 pandemic on our business, a high level of estimation was involved in determining the allowance as of June 30, 2022. Therefore, actual future accounts receivable write-offs may differ materially from the allowance. If the recent increase in inflation, which has risen at a greater pace than seen in decades, continues in future periods, such a development may further adversely impact our customers' ability to continue to make payments to the Company. The provision for uncollectible renewal payments is recorded as a reduction of lease revenues and fees within the condensed consolidated statements of earnings. For customer lease agreements that are past due, the Company's policy is to write-off lease receivables after 120 days.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Vive's allowance for uncollectible merchant accounts receivable, which primarily relates to cardholder returns and refunds, is recorded as bad debt expense within operating expenses in the condensed consolidated statements of earnings. See below for discussion of Vive's loans receivable and related allowance for loan losses.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components of the accounts receivable allowance: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980" w:type="dxa"/>
            <w:vAlign w:val="bottom"/>
            <w:gridSpan w:val="3"/>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2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7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76,507</w:t>
            </w:r>
          </w:p>
        </w:tc>
        <w:tc>
          <w:tcPr>
            <w:tcW w:w="102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47,757</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71,233</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56,364</w:t>
            </w:r>
          </w:p>
        </w:tc>
        <w:tc>
          <w:tcPr>
            <w:tcW w:w="0" w:type="dxa"/>
            <w:vAlign w:val="bottom"/>
          </w:tcPr>
          <w:p>
            <w:pPr>
              <w:spacing w:after="0"/>
              <w:rPr>
                <w:sz w:val="1"/>
                <w:szCs w:val="1"/>
                <w:color w:val="auto"/>
              </w:rPr>
            </w:pPr>
          </w:p>
        </w:tc>
      </w:tr>
      <w:tr>
        <w:trPr>
          <w:trHeight w:val="230"/>
        </w:trPr>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Book Value of Accounts Written Off</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(100,809)</w:t>
            </w:r>
          </w:p>
        </w:tc>
        <w:tc>
          <w:tcPr>
            <w:tcW w:w="102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(49,801)</w:t>
            </w:r>
          </w:p>
        </w:tc>
        <w:tc>
          <w:tcPr>
            <w:tcW w:w="4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(193,742)</w:t>
            </w:r>
          </w:p>
        </w:tc>
        <w:tc>
          <w:tcPr>
            <w:tcW w:w="4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(108,011)</w:t>
            </w: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Recoveries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9,228</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10,741</w:t>
            </w:r>
          </w:p>
        </w:tc>
        <w:tc>
          <w:tcPr>
            <w:tcW w:w="4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18,887</w:t>
            </w: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23,848</w:t>
            </w:r>
          </w:p>
        </w:tc>
        <w:tc>
          <w:tcPr>
            <w:tcW w:w="0" w:type="dxa"/>
            <w:vAlign w:val="bottom"/>
          </w:tcPr>
          <w:p>
            <w:pPr>
              <w:spacing w:after="0"/>
              <w:rPr>
                <w:sz w:val="1"/>
                <w:szCs w:val="1"/>
                <w:color w:val="auto"/>
              </w:rPr>
            </w:pPr>
          </w:p>
        </w:tc>
      </w:tr>
      <w:tr>
        <w:trPr>
          <w:trHeight w:val="229"/>
        </w:trPr>
        <w:tc>
          <w:tcPr>
            <w:tcW w:w="44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Accounts Receivable Provision</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96,972</w:t>
            </w:r>
          </w:p>
        </w:tc>
        <w:tc>
          <w:tcPr>
            <w:tcW w:w="10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39,762</w:t>
            </w:r>
          </w:p>
        </w:tc>
        <w:tc>
          <w:tcPr>
            <w:tcW w:w="4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185,520</w:t>
            </w: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76,258</w:t>
            </w:r>
          </w:p>
        </w:tc>
        <w:tc>
          <w:tcPr>
            <w:tcW w:w="0" w:type="dxa"/>
            <w:vAlign w:val="bottom"/>
          </w:tcPr>
          <w:p>
            <w:pPr>
              <w:spacing w:after="0"/>
              <w:rPr>
                <w:sz w:val="1"/>
                <w:szCs w:val="1"/>
                <w:color w:val="auto"/>
              </w:rPr>
            </w:pPr>
          </w:p>
        </w:tc>
      </w:tr>
      <w:tr>
        <w:trPr>
          <w:trHeight w:val="248"/>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81,898</w:t>
            </w:r>
          </w:p>
        </w:tc>
        <w:tc>
          <w:tcPr>
            <w:tcW w:w="102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48,459</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81,898</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48,459</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Merchandise</w:t>
      </w:r>
    </w:p>
    <w:p>
      <w:pPr>
        <w:spacing w:after="0" w:line="10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Progressive Leasing's merchandise consists primarily of furniture, appliances, electronics, jewelry, mobile phones and accessories, mattresses, automobile electronics and accessories, and a variety of other products, and is recorded at the lower of depreciated cost or net realizable value. Progressive Leasing depreciates lease merchandise to a 0% salvage value generally over 12 months. Depreciation is accelerated upon early buyout. All of Progressive Leasing's merchandise, net of accumulated depreciation and allowances, represents on-lease merchandise.</w:t>
      </w:r>
    </w:p>
    <w:p>
      <w:pPr>
        <w:spacing w:after="0" w:line="4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records a provision for write-offs using the allowance method. The allowance method for lease merchandise write-offs estimates the merchandise losses incurred but not yet identified by management as of the end of the accounting period based on historical write-off experience. Other qualitative factors, such as current and forecasted customer payment trends, are considered in estimating the allowance. Given the significant uncertainty regarding the impacts of inflation, which has increased at a greater pace than seen in decades, and the COVID-19 pandemic on our business, a high level of estimation was involved in determining the allowance as of June 30, 2022. Actual lease merchandise write-offs may differ materially from the allowance as of June 30, 2022. If the recent increase in inflation continues in future periods, such a development may further adversely impact our customers' ability to continue to make payments to the Company. For customer lease agreements that are past due, the Company's policy is to write-off lease merchandise after 120 days.</w:t>
      </w:r>
    </w:p>
    <w:p>
      <w:pPr>
        <w:spacing w:after="0" w:line="70"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following table shows the components of the allowance for lease merchandise write-offs, which is included within lease merchandise, net in the condensed consolidated balance sheets: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00" w:type="dxa"/>
            <w:vAlign w:val="bottom"/>
          </w:tcPr>
          <w:p>
            <w:pPr>
              <w:spacing w:after="0"/>
              <w:rPr>
                <w:sz w:val="16"/>
                <w:szCs w:val="16"/>
                <w:color w:val="auto"/>
              </w:rPr>
            </w:pPr>
          </w:p>
        </w:tc>
        <w:tc>
          <w:tcPr>
            <w:tcW w:w="2700" w:type="dxa"/>
            <w:vAlign w:val="bottom"/>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0" w:type="dxa"/>
            <w:vAlign w:val="bottom"/>
            <w:gridSpan w:val="3"/>
          </w:tcPr>
          <w:p>
            <w:pPr>
              <w:jc w:val="right"/>
              <w:ind w:right="77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0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7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7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59,947</w:t>
            </w:r>
          </w:p>
        </w:tc>
        <w:tc>
          <w:tcPr>
            <w:tcW w:w="102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39,086</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54,367</w:t>
            </w:r>
          </w:p>
        </w:tc>
        <w:tc>
          <w:tcPr>
            <w:tcW w:w="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45,992</w:t>
            </w:r>
          </w:p>
        </w:tc>
        <w:tc>
          <w:tcPr>
            <w:tcW w:w="0" w:type="dxa"/>
            <w:vAlign w:val="bottom"/>
          </w:tcPr>
          <w:p>
            <w:pPr>
              <w:spacing w:after="0"/>
              <w:rPr>
                <w:sz w:val="1"/>
                <w:szCs w:val="1"/>
                <w:color w:val="auto"/>
              </w:rPr>
            </w:pPr>
          </w:p>
        </w:tc>
      </w:tr>
      <w:tr>
        <w:trPr>
          <w:trHeight w:val="229"/>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Book Value of Merchandise Written off</w:t>
            </w:r>
          </w:p>
        </w:tc>
        <w:tc>
          <w:tcPr>
            <w:tcW w:w="9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(53,432)</w:t>
            </w:r>
          </w:p>
        </w:tc>
        <w:tc>
          <w:tcPr>
            <w:tcW w:w="10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(26,946)</w:t>
            </w:r>
          </w:p>
        </w:tc>
        <w:tc>
          <w:tcPr>
            <w:tcW w:w="4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(100,566)</w:t>
            </w: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(54,901)</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Recoveries</w:t>
            </w:r>
          </w:p>
        </w:tc>
        <w:tc>
          <w:tcPr>
            <w:tcW w:w="9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2,276</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2,229</w:t>
            </w:r>
          </w:p>
        </w:tc>
        <w:tc>
          <w:tcPr>
            <w:tcW w:w="4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4,660</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4,638</w:t>
            </w:r>
          </w:p>
        </w:tc>
        <w:tc>
          <w:tcPr>
            <w:tcW w:w="0" w:type="dxa"/>
            <w:vAlign w:val="bottom"/>
          </w:tcPr>
          <w:p>
            <w:pPr>
              <w:spacing w:after="0"/>
              <w:rPr>
                <w:sz w:val="1"/>
                <w:szCs w:val="1"/>
                <w:color w:val="auto"/>
              </w:rPr>
            </w:pPr>
          </w:p>
        </w:tc>
      </w:tr>
      <w:tr>
        <w:trPr>
          <w:trHeight w:val="230"/>
        </w:trPr>
        <w:tc>
          <w:tcPr>
            <w:tcW w:w="4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Provision for Write-offs</w:t>
            </w:r>
          </w:p>
        </w:tc>
        <w:tc>
          <w:tcPr>
            <w:tcW w:w="9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61,788</w:t>
            </w:r>
          </w:p>
        </w:tc>
        <w:tc>
          <w:tcPr>
            <w:tcW w:w="10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31,258</w:t>
            </w:r>
          </w:p>
        </w:tc>
        <w:tc>
          <w:tcPr>
            <w:tcW w:w="4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112,118</w:t>
            </w:r>
          </w:p>
        </w:tc>
        <w:tc>
          <w:tcPr>
            <w:tcW w:w="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49,898</w:t>
            </w:r>
          </w:p>
        </w:tc>
        <w:tc>
          <w:tcPr>
            <w:tcW w:w="0" w:type="dxa"/>
            <w:vAlign w:val="bottom"/>
          </w:tcPr>
          <w:p>
            <w:pPr>
              <w:spacing w:after="0"/>
              <w:rPr>
                <w:sz w:val="1"/>
                <w:szCs w:val="1"/>
                <w:color w:val="auto"/>
              </w:rPr>
            </w:pPr>
          </w:p>
        </w:tc>
      </w:tr>
      <w:tr>
        <w:trPr>
          <w:trHeight w:val="248"/>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70,579</w:t>
            </w:r>
          </w:p>
        </w:tc>
        <w:tc>
          <w:tcPr>
            <w:tcW w:w="102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45,627</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70,579</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45,627</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Vendor Incentives and Rebates Provided to POS Partners</w:t>
      </w:r>
    </w:p>
    <w:p>
      <w:pPr>
        <w:spacing w:after="0" w:line="9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Progressive Leasing has agreements with some of its POS partners that require additional consideration to be paid to the POS partner, including payments for exclusivity, rebates based on lease volume originations generated through the POS partners, and payments to the POS partners for marketing or other development initiatives to promote additional lease originations through these POS partners. Payments made to POS partners as consideration for them providing exclusivity to Progressive Leasing for lease-to-own transactions with customers of the POS partner are expensed on a straight-line basis over the exclusivity term. Rebates are accrued over the period the POS partner is earning the rebate, which is typically based on quarterly or annual lease origination volumes. Payments made to POS partners for marketing or development initiatives are expensed on a straight-line basis over the period the POS partner is earning the funds or the specified marketing term. Progressive Leasing expensed $6.3 million and $12.8 million for such additional consideration to POS partners, during the three and six months ended June 30, 2022, respectively, compared to $5.6 million and $9.6 million during the three and six months ended June 30, 2021. Expenses related to additional consideration provided to POS partners are classified within operating expenses in the condensed consolidated statements of earnings.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Loans Receivable, Net</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Gross loans receivable primarily represents the principal balances of credit card charges at Vive's participating merchants that remain due from cardholders, plus unpaid interest and fees due from cardholders. The allowance and unamortized fees represent uncollectible amounts; merchant fee discounts, net of capitalized origination costs; promotional fee discounts; and deferred annual card fees. Loans receivable, net as of June 30, 2022 also includes $2.2 million of outstanding receivables from customers of Four.</w:t>
      </w:r>
    </w:p>
    <w:p>
      <w:pPr>
        <w:spacing w:after="0" w:line="4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Economic conditions and loan performance trends are closely monitored to manage and evaluate exposure to credit risk. Trends in delinquency rates are an indicator of credit risk within the loans receivable portfolio, including the migration of loans between delinquency categories over time. Charge-off rates represent another indicator of the potential for future credit losses. The risk in the loans receivable portfolio is correlated with broad economic trends, such as current and projected unemployment rates, stock market volatility, and changes in medium and long-term risk-free rates, which are considered in determining the allowance for loan losses and can have a material effect on credit performance.</w:t>
      </w:r>
    </w:p>
    <w:p>
      <w:pPr>
        <w:spacing w:after="0" w:line="6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Expected lifetime losses on loans receivable are recognized upon loan acquisition, which requires the Company to make its best estimate of probable lifetime losses at the time of acquisition. Our credit card loans do not have contractually stated maturity dates, which requires the Company to estimate an average life of loan by analyzing historical payment trends to determine an expected remaining life of the loan balance. The Company segments its loans receivable portfolio into homogenous pools by Fair Isaac and Company ("FICO") score and by delinquency status and evaluates loans receivable collectively for impairment when similar risk characteristics exist.</w:t>
      </w:r>
    </w:p>
    <w:p>
      <w:pPr>
        <w:spacing w:after="0" w:line="62"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The Company calculates Vive's allowance for loan losses based on internal historical loss information and incorporates observable and forecasted macroeconomic data over a twelve-month reasonable and supportable forecast period. Incorporating macroeconomic data could have a material impact on the measurement of the allowance to the extent that forecasted data changes significantly, such as higher forecasted inflation and unemployment rates, and the observed significant market volatility associated with the COVID-19 pandemic. For any periods beyond the twelve-month reasonable and supportable forecast period described above, the Company reverts to using historical loss information on a straight-line basis over a period of six months and utilizes historical loss information for the remaining life of the portfolio. The Company may also consider other qualitative factors in estimating the allowance, as necessary. For the purposes of determining the allowance as of June 30, 2022, management considered other qualitative factors such as the unfavorable impact of the rapid increase in the rate of inflation in recent months and the beneficial impact of government stimulus measures to our customer base in 2020 and 2021 that were not fully factored into the macroeconomic forecasted data and resulted in internal historical loss rates incorporated in Vive's baseline allowance estimate being lower than current forecasted loss rates. We believe those stimulus measures may have contributed to the favorable cardholder payment trends experienced at Vive in 2020 and 2021. The allowance for loan losses is maintained at a level considered appropriate to cover expected future losses of principal, interest and fees on active loans in the loans receivable portfolio. The appropriateness of the allowance is evaluated at each period end. If the recent increase in inflation continues in future periods, such a development may adversely impact our customers' ability to continue to make payments to the Company. To the extent that actual results differ from estimates of uncollectible loans receivable, including the significant uncertainties caused by rapidly increasing inflation and the COVID-19 pandemic, the Company's results of operations and liquidity may be materially affected.</w:t>
      </w:r>
    </w:p>
    <w:p>
      <w:pPr>
        <w:spacing w:after="0" w:line="6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Vive's delinquent loans receivable includes those that are 30 days or more past due based on their contractual billing dates. Vive's loans receivable are placed on nonaccrual status when they are greater than 90 days past due or upon notification of cardholder bankruptcy, death or fraud. The Company discontinues accruing interest and fees and amortizing merchant fee discounts and promotional fee discounts for Vive's loans receivable in nonaccrual status. Loans receivable are removed from nonaccrual status when cardholder payments resume, the loan becomes 90 days or less past due and collection of the remaining amounts outstanding is deemed probable. Payments received on nonaccrual loans are allocated according to the same payment hierarchy methodology applied to loans that are accruing interest. Loans receivable are charged off no later than the end of the following month after the billing cycle in which the loans receivable become 120 days past due.</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Vive extends or declines credit to an applicant through its bank partners based upon the applicant's credit rating and other factors. Below is a summary of the credit quality of the Company's loan portfolio as of June 30, 2022 and December 31, 2021 by FICO score as determined at the time of loan origination: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FICO Score Category</w:t>
            </w:r>
          </w:p>
        </w:tc>
        <w:tc>
          <w:tcPr>
            <w:tcW w:w="472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68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4840" w:type="dxa"/>
            <w:vAlign w:val="bottom"/>
            <w:tcBorders>
              <w:bottom w:val="single" w:sz="8" w:color="auto"/>
            </w:tcBorders>
          </w:tcPr>
          <w:p>
            <w:pPr>
              <w:spacing w:after="0"/>
              <w:rPr>
                <w:sz w:val="2"/>
                <w:szCs w:val="2"/>
                <w:color w:val="auto"/>
              </w:rPr>
            </w:pPr>
          </w:p>
        </w:tc>
        <w:tc>
          <w:tcPr>
            <w:tcW w:w="47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23"/>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600 or Less</w:t>
            </w:r>
          </w:p>
        </w:tc>
        <w:tc>
          <w:tcPr>
            <w:tcW w:w="47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8.2 %</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Between 600 and 700</w:t>
            </w:r>
          </w:p>
        </w:tc>
        <w:tc>
          <w:tcPr>
            <w:tcW w:w="47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77.6 %</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78.0 %</w:t>
            </w: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700 or Greater</w:t>
            </w:r>
          </w:p>
        </w:tc>
        <w:tc>
          <w:tcPr>
            <w:tcW w:w="47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12.0 %</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12.7 %</w:t>
            </w:r>
          </w:p>
        </w:tc>
      </w:tr>
      <w:tr>
        <w:trPr>
          <w:trHeight w:val="234"/>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Score Identified</w:t>
            </w:r>
          </w:p>
        </w:tc>
        <w:tc>
          <w:tcPr>
            <w:tcW w:w="47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2.2 %</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Assets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assets consist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6"/>
                <w:szCs w:val="16"/>
                <w:color w:val="auto"/>
              </w:rPr>
            </w:pPr>
          </w:p>
        </w:tc>
        <w:tc>
          <w:tcPr>
            <w:tcW w:w="142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40" w:type="dxa"/>
            <w:vAlign w:val="bottom"/>
          </w:tcPr>
          <w:p>
            <w:pPr>
              <w:spacing w:after="0"/>
              <w:rPr>
                <w:sz w:val="16"/>
                <w:szCs w:val="16"/>
                <w:color w:val="auto"/>
              </w:rPr>
            </w:pPr>
          </w:p>
        </w:tc>
        <w:tc>
          <w:tcPr>
            <w:tcW w:w="14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28,009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28,283</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Software Expenses</w:t>
            </w:r>
          </w:p>
        </w:tc>
        <w:tc>
          <w:tcPr>
            <w:tcW w:w="240" w:type="dxa"/>
            <w:vAlign w:val="bottom"/>
          </w:tcPr>
          <w:p>
            <w:pPr>
              <w:spacing w:after="0"/>
              <w:rPr>
                <w:sz w:val="19"/>
                <w:szCs w:val="19"/>
                <w:color w:val="auto"/>
              </w:rPr>
            </w:pP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9,900</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7,102</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Initial Direct Costs on Lease Agreement Originations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6,616</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5,326</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240" w:type="dxa"/>
            <w:vAlign w:val="bottom"/>
          </w:tcPr>
          <w:p>
            <w:pPr>
              <w:spacing w:after="0"/>
              <w:rPr>
                <w:sz w:val="19"/>
                <w:szCs w:val="19"/>
                <w:color w:val="auto"/>
              </w:rPr>
            </w:pP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2,630</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6,430</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7,446</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53,585</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48,197</w:t>
            </w:r>
          </w:p>
        </w:tc>
      </w:tr>
      <w:tr>
        <w:trPr>
          <w:trHeight w:val="21"/>
        </w:trPr>
        <w:tc>
          <w:tcPr>
            <w:tcW w:w="7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incurs costs to implement cloud computing arrangements ("CCA") that are hosted by third-party vendors. Implementation costs associated with CCA are capitalized when incurred during the application development phase and are recorded within prepaid software expenses above. Amortization is calculated on a straight-line basis over the contractual term of the arrangement and is included within computer software expense as a component of operating expenses in the condensed consolidated statements of earnings.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Payable and Accrued Expenses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and accrued expenses consist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6"/>
                <w:szCs w:val="16"/>
                <w:color w:val="auto"/>
              </w:rPr>
            </w:pPr>
          </w:p>
        </w:tc>
        <w:tc>
          <w:tcPr>
            <w:tcW w:w="14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40" w:type="dxa"/>
            <w:vAlign w:val="bottom"/>
          </w:tcPr>
          <w:p>
            <w:pPr>
              <w:spacing w:after="0"/>
              <w:rPr>
                <w:sz w:val="16"/>
                <w:szCs w:val="16"/>
                <w:color w:val="auto"/>
              </w:rPr>
            </w:pPr>
          </w:p>
        </w:tc>
        <w:tc>
          <w:tcPr>
            <w:tcW w:w="14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8,583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13,741</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Salaries and Benefits</w:t>
            </w:r>
          </w:p>
        </w:tc>
        <w:tc>
          <w:tcPr>
            <w:tcW w:w="240" w:type="dxa"/>
            <w:vAlign w:val="bottom"/>
          </w:tcPr>
          <w:p>
            <w:pPr>
              <w:spacing w:after="0"/>
              <w:rPr>
                <w:sz w:val="19"/>
                <w:szCs w:val="19"/>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21,584</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25,861</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Sales and Personal Property Taxes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13,084</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14,851</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240" w:type="dxa"/>
            <w:vAlign w:val="bottom"/>
          </w:tcPr>
          <w:p>
            <w:pPr>
              <w:spacing w:after="0"/>
              <w:rPr>
                <w:sz w:val="19"/>
                <w:szCs w:val="19"/>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1,058</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2,782</w:t>
            </w:r>
          </w:p>
        </w:tc>
      </w:tr>
      <w:tr>
        <w:trPr>
          <w:trHeight w:val="230"/>
        </w:trPr>
        <w:tc>
          <w:tcPr>
            <w:tcW w:w="78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Uncertain Tax Positions</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50,707</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48,451</w:t>
            </w:r>
          </w:p>
        </w:tc>
      </w:tr>
      <w:tr>
        <w:trPr>
          <w:trHeight w:val="229"/>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Accrued Expenses and Liabilities</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30,948</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30,268</w:t>
            </w: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125,964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135,954</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right="40" w:firstLine="8"/>
        <w:spacing w:after="0" w:line="197" w:lineRule="auto"/>
        <w:tabs>
          <w:tab w:leader="none" w:pos="88"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 uncertain tax positions as of June 30, 2022, and December 31, 2021 are primarily related to the Company’s tax treatment of the $175.0 million settlement payment made in 2020 to the FTC as discussed in Note 10 and Note 11 to the consolidated financial statements in the 2021 Annual Report.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10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November 24, 2020, the Company entered into a credit agreement with a consortium of lenders providing for a $350.0 million senior revolving credit facility (the "Revolving Facility"), under which revolving borrowings became available at the completion of the separation and distribution transaction through which the Company's historical Aaron's Business segment was spun-off into a separate company, and under which all borrowings and commitments will mature or terminate on November 24, 2025. The Company expects that the Revolving Facility will be used to provide for working capital and capital expenditures, to finance future permitted acquisitions, and for other general corporate purposes. If the Company's total net debt to EBITDA ratio as defined by the Revolving Facility exceeds 1.25, the Revolving Facility becomes fully secured for the remaining duration of the Revolving Facility term. As of June 30, 2022, the Company exceeded the 1.25 total net debt to EBITDA ratio and the Revolving Facility became fully secured. The Company had no outstanding borrowings and $350.0 million total available credit under the Revolving Facility as of June 30, 2022 and December 31, 2021.</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9"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On November 26, 2021, the Company entered into an indenture in connection with an offering of $600 million aggregate principal amount of its 6.00% senior unsecured notes due 2029 (the "Senior Notes"). The Senior Notes were issued at 100% of their par value. The Senior Notes are general unsecured obligations of the Company and are guaranteed by certain of the Company’s existing and future domestic subsidiaries.</w:t>
      </w:r>
    </w:p>
    <w:p>
      <w:pPr>
        <w:spacing w:after="0" w:line="4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net proceeds from the Senior Notes were used to fund the purchase price, and related fees and expenses, of the Company’s tender offer to purchase $425 million of the Company’s common stock as discussed in Note 12 to the consolidated financial statements in the 2021 Annual Report. The Company intends to use any remaining proceeds for future share repurchases or, to the extent the Company determines not to repurchase additional shares, for general corporate purposes.</w:t>
      </w:r>
    </w:p>
    <w:p>
      <w:pPr>
        <w:spacing w:after="0" w:line="5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At June 30, 2022, the Company was in compliance with all covenants related to its outstanding debt. See Note 9 to the consolidated financial statements in the 2021 Annual Report for further information regarding the Company's indebtedness.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0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Goodwill represents the excess of the purchase price paid over the fair value of the identifiable net tangible and intangible assets acquired in connection with business acquisitions. Progressive Leasing and Four are the only reporting units with goodwill as of June 30, 2022. Impairment occurs when the carrying amount of goodwill is not recoverable from future cash flows. The Company’s goodwill is not amortized but is subject to an impairment test at the reporting unit level annually as of October 1 and more frequently if events or circumstances indicate that an impairment may have occurred. Factors which could necessitate an interim impairment assessment include a sustained decline in the Company’s stock price, prolonged negative industry or economic trends and significant underperformance relative to historical results, projected future operating results, or the Company failing to successfully execute on one or more elements of Progressive Leasing and/or Four's strategic plans. The Company completed its annual goodwill impairment test for Progressive Leasing and Four as of October 1, 2021 and concluded that no impairment had occurred. The Company determined that there were no events or circumstances that occurred during the six months ended June 30, 2022 that would more likely than not reduce the fair value of Progressive Leasing or Four below their carrying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Shareholders' Equity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shareholders' equity for the six months ended June 30, 2022 and 2021 are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00" w:type="dxa"/>
            <w:vAlign w:val="bottom"/>
          </w:tcPr>
          <w:p>
            <w:pPr>
              <w:spacing w:after="0"/>
              <w:rPr>
                <w:sz w:val="16"/>
                <w:szCs w:val="16"/>
                <w:color w:val="auto"/>
              </w:rPr>
            </w:pPr>
          </w:p>
        </w:tc>
        <w:tc>
          <w:tcPr>
            <w:tcW w:w="2360" w:type="dxa"/>
            <w:vAlign w:val="bottom"/>
            <w:gridSpan w:val="4"/>
          </w:tcPr>
          <w:p>
            <w:pPr>
              <w:ind w:left="68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360" w:type="dxa"/>
            <w:vAlign w:val="bottom"/>
            <w:gridSpan w:val="3"/>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6"/>
                <w:szCs w:val="16"/>
                <w:color w:val="auto"/>
              </w:rPr>
            </w:pPr>
          </w:p>
        </w:tc>
        <w:tc>
          <w:tcPr>
            <w:tcW w:w="1200" w:type="dxa"/>
            <w:vAlign w:val="bottom"/>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40" w:type="dxa"/>
            <w:vAlign w:val="bottom"/>
          </w:tcPr>
          <w:p>
            <w:pPr>
              <w:spacing w:after="0"/>
              <w:rPr>
                <w:sz w:val="16"/>
                <w:szCs w:val="16"/>
                <w:color w:val="auto"/>
              </w:rPr>
            </w:pPr>
          </w:p>
        </w:tc>
        <w:tc>
          <w:tcPr>
            <w:tcW w:w="960" w:type="dxa"/>
            <w:vAlign w:val="bottom"/>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380" w:type="dxa"/>
            <w:vAlign w:val="bottom"/>
            <w:gridSpan w:val="2"/>
            <w:vMerge w:val="restart"/>
          </w:tcPr>
          <w:p>
            <w:pPr>
              <w:jc w:val="center"/>
              <w:ind w:left="1"/>
              <w:spacing w:after="0"/>
              <w:rPr>
                <w:sz w:val="20"/>
                <w:szCs w:val="20"/>
                <w:color w:val="auto"/>
              </w:rPr>
            </w:pPr>
            <w:r>
              <w:rPr>
                <w:rFonts w:ascii="Times New Roman" w:cs="Times New Roman" w:eastAsia="Times New Roman" w:hAnsi="Times New Roman"/>
                <w:sz w:val="14"/>
                <w:szCs w:val="14"/>
                <w:b w:val="1"/>
                <w:bCs w:val="1"/>
                <w:color w:val="auto"/>
              </w:rPr>
              <w:t>Total Shareholders’</w:t>
            </w:r>
          </w:p>
        </w:tc>
        <w:tc>
          <w:tcPr>
            <w:tcW w:w="0" w:type="dxa"/>
            <w:vAlign w:val="bottom"/>
          </w:tcPr>
          <w:p>
            <w:pPr>
              <w:spacing w:after="0"/>
              <w:rPr>
                <w:sz w:val="1"/>
                <w:szCs w:val="1"/>
                <w:color w:val="auto"/>
              </w:rPr>
            </w:pPr>
          </w:p>
        </w:tc>
      </w:tr>
      <w:tr>
        <w:trPr>
          <w:trHeight w:val="23"/>
        </w:trPr>
        <w:tc>
          <w:tcPr>
            <w:tcW w:w="25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138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2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00" w:type="dxa"/>
            <w:vAlign w:val="bottom"/>
          </w:tcPr>
          <w:p>
            <w:pPr>
              <w:spacing w:after="0"/>
              <w:rPr>
                <w:sz w:val="2"/>
                <w:szCs w:val="2"/>
                <w:color w:val="auto"/>
              </w:rPr>
            </w:pPr>
          </w:p>
        </w:tc>
        <w:tc>
          <w:tcPr>
            <w:tcW w:w="10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20" w:type="dxa"/>
            <w:vAlign w:val="bottom"/>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2"/>
                <w:szCs w:val="2"/>
                <w:color w:val="auto"/>
              </w:rPr>
            </w:pPr>
          </w:p>
        </w:tc>
        <w:tc>
          <w:tcPr>
            <w:tcW w:w="960" w:type="dxa"/>
            <w:vAlign w:val="bottom"/>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13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50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2021</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(25,638)</w:t>
            </w:r>
          </w:p>
        </w:tc>
        <w:tc>
          <w:tcPr>
            <w:tcW w:w="3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(749,401)</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82,079</w:t>
            </w:r>
          </w:p>
        </w:tc>
        <w:tc>
          <w:tcPr>
            <w:tcW w:w="2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41,039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332,244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1,055,526</w:t>
            </w:r>
          </w:p>
        </w:tc>
        <w:tc>
          <w:tcPr>
            <w:tcW w:w="3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679,408</w:t>
            </w:r>
          </w:p>
        </w:tc>
        <w:tc>
          <w:tcPr>
            <w:tcW w:w="0" w:type="dxa"/>
            <w:vAlign w:val="bottom"/>
          </w:tcPr>
          <w:p>
            <w:pPr>
              <w:spacing w:after="0"/>
              <w:rPr>
                <w:sz w:val="1"/>
                <w:szCs w:val="1"/>
                <w:color w:val="auto"/>
              </w:rPr>
            </w:pPr>
          </w:p>
        </w:tc>
      </w:tr>
      <w:tr>
        <w:trPr>
          <w:trHeight w:val="213"/>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6,587</w:t>
            </w:r>
          </w:p>
        </w:tc>
        <w:tc>
          <w:tcPr>
            <w:tcW w:w="24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6,587</w:t>
            </w: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Reissued Shares</w:t>
            </w:r>
          </w:p>
        </w:tc>
        <w:tc>
          <w:tcPr>
            <w:tcW w:w="9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177</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5,260</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(7,776)</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(2,516)</w:t>
            </w:r>
          </w:p>
        </w:tc>
        <w:tc>
          <w:tcPr>
            <w:tcW w:w="0" w:type="dxa"/>
            <w:vAlign w:val="bottom"/>
          </w:tcPr>
          <w:p>
            <w:pPr>
              <w:spacing w:after="0"/>
              <w:rPr>
                <w:sz w:val="1"/>
                <w:szCs w:val="1"/>
                <w:color w:val="auto"/>
              </w:rPr>
            </w:pPr>
          </w:p>
        </w:tc>
      </w:tr>
      <w:tr>
        <w:trPr>
          <w:trHeight w:val="213"/>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Repurchased Shares</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(2,200)</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(78,080)</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(78,080)</w:t>
            </w: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27,135</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27,135</w:t>
            </w:r>
          </w:p>
        </w:tc>
        <w:tc>
          <w:tcPr>
            <w:tcW w:w="0" w:type="dxa"/>
            <w:vAlign w:val="bottom"/>
          </w:tcPr>
          <w:p>
            <w:pPr>
              <w:spacing w:after="0"/>
              <w:rPr>
                <w:sz w:val="1"/>
                <w:szCs w:val="1"/>
                <w:color w:val="auto"/>
              </w:rPr>
            </w:pPr>
          </w:p>
        </w:tc>
      </w:tr>
      <w:tr>
        <w:trPr>
          <w:trHeight w:val="207"/>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March 31, 2022</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(27,661)</w:t>
            </w:r>
          </w:p>
        </w:tc>
        <w:tc>
          <w:tcPr>
            <w:tcW w:w="3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(822,221)</w:t>
            </w:r>
          </w:p>
        </w:tc>
        <w:tc>
          <w:tcPr>
            <w:tcW w:w="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82,079</w:t>
            </w:r>
          </w:p>
        </w:tc>
        <w:tc>
          <w:tcPr>
            <w:tcW w:w="2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41,039</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331,055</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1,082,661</w:t>
            </w:r>
          </w:p>
        </w:tc>
        <w:tc>
          <w:tcPr>
            <w:tcW w:w="36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632,534</w:t>
            </w:r>
          </w:p>
        </w:tc>
        <w:tc>
          <w:tcPr>
            <w:tcW w:w="0" w:type="dxa"/>
            <w:vAlign w:val="bottom"/>
          </w:tcPr>
          <w:p>
            <w:pPr>
              <w:spacing w:after="0"/>
              <w:rPr>
                <w:sz w:val="1"/>
                <w:szCs w:val="1"/>
                <w:color w:val="auto"/>
              </w:rPr>
            </w:pPr>
          </w:p>
        </w:tc>
      </w:tr>
      <w:tr>
        <w:trPr>
          <w:trHeight w:val="20"/>
        </w:trPr>
        <w:tc>
          <w:tcPr>
            <w:tcW w:w="25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9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2,484</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2,484</w:t>
            </w:r>
          </w:p>
        </w:tc>
        <w:tc>
          <w:tcPr>
            <w:tcW w:w="0" w:type="dxa"/>
            <w:vAlign w:val="bottom"/>
          </w:tcPr>
          <w:p>
            <w:pPr>
              <w:spacing w:after="0"/>
              <w:rPr>
                <w:sz w:val="1"/>
                <w:szCs w:val="1"/>
                <w:color w:val="auto"/>
              </w:rPr>
            </w:pPr>
          </w:p>
        </w:tc>
      </w:tr>
      <w:tr>
        <w:trPr>
          <w:trHeight w:val="213"/>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Reissued Shares</w:t>
            </w: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47</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1,380</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w:t>
            </w:r>
          </w:p>
        </w:tc>
        <w:tc>
          <w:tcPr>
            <w:tcW w:w="24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w:t>
            </w: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Repurchased Shares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(3,899)</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(98,395)</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(98,395)</w:t>
            </w:r>
          </w:p>
        </w:tc>
        <w:tc>
          <w:tcPr>
            <w:tcW w:w="0" w:type="dxa"/>
            <w:vAlign w:val="bottom"/>
          </w:tcPr>
          <w:p>
            <w:pPr>
              <w:spacing w:after="0"/>
              <w:rPr>
                <w:sz w:val="1"/>
                <w:szCs w:val="1"/>
                <w:color w:val="auto"/>
              </w:rPr>
            </w:pPr>
          </w:p>
        </w:tc>
      </w:tr>
      <w:tr>
        <w:trPr>
          <w:trHeight w:val="213"/>
        </w:trPr>
        <w:tc>
          <w:tcPr>
            <w:tcW w:w="2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9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19,484</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19,484</w:t>
            </w:r>
          </w:p>
        </w:tc>
        <w:tc>
          <w:tcPr>
            <w:tcW w:w="0" w:type="dxa"/>
            <w:vAlign w:val="bottom"/>
          </w:tcPr>
          <w:p>
            <w:pPr>
              <w:spacing w:after="0"/>
              <w:rPr>
                <w:sz w:val="1"/>
                <w:szCs w:val="1"/>
                <w:color w:val="auto"/>
              </w:rPr>
            </w:pPr>
          </w:p>
        </w:tc>
      </w:tr>
      <w:tr>
        <w:trPr>
          <w:trHeight w:val="234"/>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June 30, 2022</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(31,513)</w:t>
            </w:r>
          </w:p>
        </w:tc>
        <w:tc>
          <w:tcPr>
            <w:tcW w:w="3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(919,236)</w:t>
            </w:r>
          </w:p>
        </w:tc>
        <w:tc>
          <w:tcPr>
            <w:tcW w:w="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82,079</w:t>
            </w:r>
          </w:p>
        </w:tc>
        <w:tc>
          <w:tcPr>
            <w:tcW w:w="2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41,039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332,823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1,102,145</w:t>
            </w:r>
          </w:p>
        </w:tc>
        <w:tc>
          <w:tcPr>
            <w:tcW w:w="36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556,771</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bottom w:val="single" w:sz="8" w:color="auto"/>
            </w:tcBorders>
            <w:gridSpan w:val="3"/>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360" w:type="dxa"/>
            <w:vAlign w:val="bottom"/>
            <w:tcBorders>
              <w:top w:val="single" w:sz="8" w:color="CCEEFF"/>
              <w:bottom w:val="single" w:sz="8" w:color="auto"/>
            </w:tcBorders>
            <w:gridSpan w:val="3"/>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7"/>
        </w:trPr>
        <w:tc>
          <w:tcPr>
            <w:tcW w:w="2500" w:type="dxa"/>
            <w:vAlign w:val="bottom"/>
          </w:tcPr>
          <w:p>
            <w:pPr>
              <w:spacing w:after="0"/>
              <w:rPr>
                <w:sz w:val="24"/>
                <w:szCs w:val="24"/>
                <w:color w:val="auto"/>
              </w:rPr>
            </w:pPr>
          </w:p>
        </w:tc>
        <w:tc>
          <w:tcPr>
            <w:tcW w:w="2360" w:type="dxa"/>
            <w:vAlign w:val="bottom"/>
            <w:gridSpan w:val="4"/>
          </w:tcPr>
          <w:p>
            <w:pPr>
              <w:ind w:left="68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360" w:type="dxa"/>
            <w:vAlign w:val="bottom"/>
            <w:gridSpan w:val="3"/>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24"/>
                <w:szCs w:val="24"/>
                <w:color w:val="auto"/>
              </w:rPr>
            </w:pPr>
          </w:p>
        </w:tc>
        <w:tc>
          <w:tcPr>
            <w:tcW w:w="1200" w:type="dxa"/>
            <w:vAlign w:val="bottom"/>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40" w:type="dxa"/>
            <w:vAlign w:val="bottom"/>
          </w:tcPr>
          <w:p>
            <w:pPr>
              <w:spacing w:after="0"/>
              <w:rPr>
                <w:sz w:val="24"/>
                <w:szCs w:val="24"/>
                <w:color w:val="auto"/>
              </w:rPr>
            </w:pPr>
          </w:p>
        </w:tc>
        <w:tc>
          <w:tcPr>
            <w:tcW w:w="960" w:type="dxa"/>
            <w:vAlign w:val="bottom"/>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380" w:type="dxa"/>
            <w:vAlign w:val="bottom"/>
            <w:gridSpan w:val="2"/>
            <w:vMerge w:val="restart"/>
          </w:tcPr>
          <w:p>
            <w:pPr>
              <w:jc w:val="center"/>
              <w:ind w:left="1"/>
              <w:spacing w:after="0"/>
              <w:rPr>
                <w:sz w:val="20"/>
                <w:szCs w:val="20"/>
                <w:color w:val="auto"/>
              </w:rPr>
            </w:pPr>
            <w:r>
              <w:rPr>
                <w:rFonts w:ascii="Times New Roman" w:cs="Times New Roman" w:eastAsia="Times New Roman" w:hAnsi="Times New Roman"/>
                <w:sz w:val="14"/>
                <w:szCs w:val="14"/>
                <w:b w:val="1"/>
                <w:bCs w:val="1"/>
                <w:color w:val="auto"/>
              </w:rPr>
              <w:t>Total Shareholders’</w:t>
            </w:r>
          </w:p>
        </w:tc>
        <w:tc>
          <w:tcPr>
            <w:tcW w:w="0" w:type="dxa"/>
            <w:vAlign w:val="bottom"/>
          </w:tcPr>
          <w:p>
            <w:pPr>
              <w:spacing w:after="0"/>
              <w:rPr>
                <w:sz w:val="1"/>
                <w:szCs w:val="1"/>
                <w:color w:val="auto"/>
              </w:rPr>
            </w:pPr>
          </w:p>
        </w:tc>
      </w:tr>
      <w:tr>
        <w:trPr>
          <w:trHeight w:val="23"/>
        </w:trPr>
        <w:tc>
          <w:tcPr>
            <w:tcW w:w="25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138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6"/>
        </w:trPr>
        <w:tc>
          <w:tcPr>
            <w:tcW w:w="2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00" w:type="dxa"/>
            <w:vAlign w:val="bottom"/>
          </w:tcPr>
          <w:p>
            <w:pPr>
              <w:spacing w:after="0"/>
              <w:rPr>
                <w:sz w:val="3"/>
                <w:szCs w:val="3"/>
                <w:color w:val="auto"/>
              </w:rPr>
            </w:pPr>
          </w:p>
        </w:tc>
        <w:tc>
          <w:tcPr>
            <w:tcW w:w="10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20" w:type="dxa"/>
            <w:vAlign w:val="bottom"/>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3"/>
                <w:szCs w:val="3"/>
                <w:color w:val="auto"/>
              </w:rPr>
            </w:pPr>
          </w:p>
        </w:tc>
        <w:tc>
          <w:tcPr>
            <w:tcW w:w="960" w:type="dxa"/>
            <w:vAlign w:val="bottom"/>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13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5"/>
        </w:trPr>
        <w:tc>
          <w:tcPr>
            <w:tcW w:w="250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4"/>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(23,029)</w:t>
            </w:r>
          </w:p>
        </w:tc>
        <w:tc>
          <w:tcPr>
            <w:tcW w:w="3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(613,881)</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90,752</w:t>
            </w:r>
          </w:p>
        </w:tc>
        <w:tc>
          <w:tcPr>
            <w:tcW w:w="2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45,376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318,263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1,236,378</w:t>
            </w:r>
          </w:p>
        </w:tc>
        <w:tc>
          <w:tcPr>
            <w:tcW w:w="3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986,136</w:t>
            </w:r>
          </w:p>
        </w:tc>
        <w:tc>
          <w:tcPr>
            <w:tcW w:w="0" w:type="dxa"/>
            <w:vAlign w:val="bottom"/>
          </w:tcPr>
          <w:p>
            <w:pPr>
              <w:spacing w:after="0"/>
              <w:rPr>
                <w:sz w:val="1"/>
                <w:szCs w:val="1"/>
                <w:color w:val="auto"/>
              </w:rPr>
            </w:pPr>
          </w:p>
        </w:tc>
      </w:tr>
      <w:tr>
        <w:trPr>
          <w:trHeight w:val="213"/>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4,163</w:t>
            </w:r>
          </w:p>
        </w:tc>
        <w:tc>
          <w:tcPr>
            <w:tcW w:w="24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4,163</w:t>
            </w: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Reissued Shares</w:t>
            </w:r>
          </w:p>
        </w:tc>
        <w:tc>
          <w:tcPr>
            <w:tcW w:w="9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216</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3,671</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(8,400)</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(4,729)</w:t>
            </w:r>
          </w:p>
        </w:tc>
        <w:tc>
          <w:tcPr>
            <w:tcW w:w="0" w:type="dxa"/>
            <w:vAlign w:val="bottom"/>
          </w:tcPr>
          <w:p>
            <w:pPr>
              <w:spacing w:after="0"/>
              <w:rPr>
                <w:sz w:val="1"/>
                <w:szCs w:val="1"/>
                <w:color w:val="auto"/>
              </w:rPr>
            </w:pPr>
          </w:p>
        </w:tc>
      </w:tr>
      <w:tr>
        <w:trPr>
          <w:trHeight w:val="213"/>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Repurchased Shares</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(28,102)</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(28,102)</w:t>
            </w: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79,488</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79,488</w:t>
            </w:r>
          </w:p>
        </w:tc>
        <w:tc>
          <w:tcPr>
            <w:tcW w:w="0" w:type="dxa"/>
            <w:vAlign w:val="bottom"/>
          </w:tcPr>
          <w:p>
            <w:pPr>
              <w:spacing w:after="0"/>
              <w:rPr>
                <w:sz w:val="1"/>
                <w:szCs w:val="1"/>
                <w:color w:val="auto"/>
              </w:rPr>
            </w:pPr>
          </w:p>
        </w:tc>
      </w:tr>
      <w:tr>
        <w:trPr>
          <w:trHeight w:val="207"/>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March 31, 2021</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(23,402)</w:t>
            </w:r>
          </w:p>
        </w:tc>
        <w:tc>
          <w:tcPr>
            <w:tcW w:w="3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(638,312)</w:t>
            </w:r>
          </w:p>
        </w:tc>
        <w:tc>
          <w:tcPr>
            <w:tcW w:w="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90,752</w:t>
            </w:r>
          </w:p>
        </w:tc>
        <w:tc>
          <w:tcPr>
            <w:tcW w:w="2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45,376</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314,026</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1,315,866</w:t>
            </w:r>
          </w:p>
        </w:tc>
        <w:tc>
          <w:tcPr>
            <w:tcW w:w="36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1,036,956</w:t>
            </w:r>
          </w:p>
        </w:tc>
        <w:tc>
          <w:tcPr>
            <w:tcW w:w="0" w:type="dxa"/>
            <w:vAlign w:val="bottom"/>
          </w:tcPr>
          <w:p>
            <w:pPr>
              <w:spacing w:after="0"/>
              <w:rPr>
                <w:sz w:val="1"/>
                <w:szCs w:val="1"/>
                <w:color w:val="auto"/>
              </w:rPr>
            </w:pPr>
          </w:p>
        </w:tc>
      </w:tr>
      <w:tr>
        <w:trPr>
          <w:trHeight w:val="20"/>
        </w:trPr>
        <w:tc>
          <w:tcPr>
            <w:tcW w:w="25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9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3,973</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3,973</w:t>
            </w:r>
          </w:p>
        </w:tc>
        <w:tc>
          <w:tcPr>
            <w:tcW w:w="0" w:type="dxa"/>
            <w:vAlign w:val="bottom"/>
          </w:tcPr>
          <w:p>
            <w:pPr>
              <w:spacing w:after="0"/>
              <w:rPr>
                <w:sz w:val="1"/>
                <w:szCs w:val="1"/>
                <w:color w:val="auto"/>
              </w:rPr>
            </w:pPr>
          </w:p>
        </w:tc>
      </w:tr>
      <w:tr>
        <w:trPr>
          <w:trHeight w:val="213"/>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Reissued Shares</w:t>
            </w: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61</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1,751</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912</w:t>
            </w:r>
          </w:p>
        </w:tc>
        <w:tc>
          <w:tcPr>
            <w:tcW w:w="24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2,663</w:t>
            </w: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Repurchased Shares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(49,094)</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(49,094)</w:t>
            </w:r>
          </w:p>
        </w:tc>
        <w:tc>
          <w:tcPr>
            <w:tcW w:w="0" w:type="dxa"/>
            <w:vAlign w:val="bottom"/>
          </w:tcPr>
          <w:p>
            <w:pPr>
              <w:spacing w:after="0"/>
              <w:rPr>
                <w:sz w:val="1"/>
                <w:szCs w:val="1"/>
                <w:color w:val="auto"/>
              </w:rPr>
            </w:pPr>
          </w:p>
        </w:tc>
      </w:tr>
      <w:tr>
        <w:trPr>
          <w:trHeight w:val="213"/>
        </w:trPr>
        <w:tc>
          <w:tcPr>
            <w:tcW w:w="2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9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68,837</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68,837</w:t>
            </w:r>
          </w:p>
        </w:tc>
        <w:tc>
          <w:tcPr>
            <w:tcW w:w="0" w:type="dxa"/>
            <w:vAlign w:val="bottom"/>
          </w:tcPr>
          <w:p>
            <w:pPr>
              <w:spacing w:after="0"/>
              <w:rPr>
                <w:sz w:val="1"/>
                <w:szCs w:val="1"/>
                <w:color w:val="auto"/>
              </w:rPr>
            </w:pPr>
          </w:p>
        </w:tc>
      </w:tr>
      <w:tr>
        <w:trPr>
          <w:trHeight w:val="234"/>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June 30, 2021</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(24,252)</w:t>
            </w:r>
          </w:p>
        </w:tc>
        <w:tc>
          <w:tcPr>
            <w:tcW w:w="3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(685,655)</w:t>
            </w:r>
          </w:p>
        </w:tc>
        <w:tc>
          <w:tcPr>
            <w:tcW w:w="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90,752</w:t>
            </w:r>
          </w:p>
        </w:tc>
        <w:tc>
          <w:tcPr>
            <w:tcW w:w="2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45,376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318,911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1,384,703</w:t>
            </w:r>
          </w:p>
        </w:tc>
        <w:tc>
          <w:tcPr>
            <w:tcW w:w="36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1,063,335</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0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During the six months ended June 30, 2022, the Company issued 468,385 restricted stock units and 264,132 stock options to certain employees, and 370,800 performance share units to certain employees and third-parties, which vest over one to three-year periods for certain units and upon the achievement of specified performance conditions for other units. The weighted average fair value of the restricted stock and performance share awards was $28.83, which was based on the fair market value of the Company’s common stock on the dates of grant. The weighted average fair value of the stock option awards was $10.89, which was based on a grant date value using a Black-Scholes-Merton option pricing model. The Company will recognize the grant date fair value of the restricted stock units and stock options as stock-based compensation expense over the requisite service period of one to three years. The Company will recognize the grant date fair value of the performance units as stock-based compensation expense over the estimated vesting period based on the Company's projected assessment of the performance conditions that are probable of being achieved in accordance with ASC 718,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w:t>
      </w:r>
    </w:p>
    <w:p>
      <w:pPr>
        <w:spacing w:after="0" w:line="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To increase the comparability of fair value measures, the following hierarchy prioritizes the inputs to valuation methodologies used to measure fair value:</w:t>
      </w:r>
    </w:p>
    <w:p>
      <w:pPr>
        <w:spacing w:after="0" w:line="5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Level 1—Valuations based on quoted prices for identical assets and liabilities in active markets.</w:t>
      </w:r>
    </w:p>
    <w:p>
      <w:pPr>
        <w:spacing w:after="0" w:line="104" w:lineRule="exact"/>
        <w:rPr>
          <w:sz w:val="20"/>
          <w:szCs w:val="20"/>
          <w:color w:val="auto"/>
        </w:rPr>
      </w:pPr>
    </w:p>
    <w:p>
      <w:pPr>
        <w:ind w:left="900" w:right="340"/>
        <w:spacing w:after="0" w:line="266" w:lineRule="auto"/>
        <w:rPr>
          <w:sz w:val="20"/>
          <w:szCs w:val="20"/>
          <w:color w:val="auto"/>
        </w:rPr>
      </w:pPr>
      <w:r>
        <w:rPr>
          <w:rFonts w:ascii="Times New Roman" w:cs="Times New Roman" w:eastAsia="Times New Roman" w:hAnsi="Times New Roman"/>
          <w:sz w:val="18"/>
          <w:szCs w:val="18"/>
          <w:color w:val="auto"/>
        </w:rPr>
        <w:t>Level 2—Valuations based on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41" w:lineRule="exact"/>
        <w:rPr>
          <w:sz w:val="20"/>
          <w:szCs w:val="20"/>
          <w:color w:val="auto"/>
        </w:rPr>
      </w:pPr>
    </w:p>
    <w:p>
      <w:pPr>
        <w:ind w:left="900" w:right="840"/>
        <w:spacing w:after="0" w:line="282" w:lineRule="auto"/>
        <w:rPr>
          <w:sz w:val="20"/>
          <w:szCs w:val="20"/>
          <w:color w:val="auto"/>
        </w:rPr>
      </w:pPr>
      <w:r>
        <w:rPr>
          <w:rFonts w:ascii="Times New Roman" w:cs="Times New Roman" w:eastAsia="Times New Roman" w:hAnsi="Times New Roman"/>
          <w:sz w:val="18"/>
          <w:szCs w:val="18"/>
          <w:color w:val="auto"/>
        </w:rPr>
        <w:t>Level 3—Valuations based on unobservable inputs reflecting the Company's own assumptions, consistent with reasonably available assumptions made by other market participants. These valuations require significant judgment.</w:t>
      </w:r>
    </w:p>
    <w:p>
      <w:pPr>
        <w:spacing w:after="0" w:line="40"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Company measures a liability related to its non-qualified deferred compensation plan, which represents benefits accrued for plan participants and is valued at the quoted market prices of the participants' investment election, at fair value on a recurring basis. The Company maintains certain financial assets and liabilities that are not measured at fair value but for which fair value is disclosed.</w:t>
      </w:r>
    </w:p>
    <w:p>
      <w:pPr>
        <w:spacing w:after="0" w:line="5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fair values of the Company's other current financial assets and liabilities, including cash and cash equivalents, accounts receivable and accounts payable, approximate their carrying values due to their short-term nature. The fair value of any revolving credit borrowings also approximate their carrying amounts.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Pending Adoption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In March 2020, the FASB issued ASU 2020-04, </w:t>
      </w:r>
      <w:r>
        <w:rPr>
          <w:rFonts w:ascii="Times New Roman" w:cs="Times New Roman" w:eastAsia="Times New Roman" w:hAnsi="Times New Roman"/>
          <w:sz w:val="17"/>
          <w:szCs w:val="17"/>
          <w:i w:val="1"/>
          <w:iCs w:val="1"/>
          <w:color w:val="auto"/>
        </w:rPr>
        <w:t>Reference Rate Reform: Facilitation of the Effects of Reference Rate Reform on Financial Reporting (Topic</w:t>
      </w:r>
    </w:p>
    <w:p>
      <w:pPr>
        <w:spacing w:after="0" w:line="41" w:lineRule="exact"/>
        <w:rPr>
          <w:sz w:val="20"/>
          <w:szCs w:val="20"/>
          <w:color w:val="auto"/>
        </w:rPr>
      </w:pPr>
    </w:p>
    <w:p>
      <w:pPr>
        <w:ind w:right="20" w:firstLine="8"/>
        <w:spacing w:after="0" w:line="251" w:lineRule="auto"/>
        <w:tabs>
          <w:tab w:leader="none" w:pos="37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("ASU 2020-04"). The standard provides temporary guidance to ease the potential burden in accounting for reference rate reform primarily resulting from the discontinuation of the London Interbank Overnight ("LIBO") rate or another reference rate expected to be discontinued. Entities may apply the provisions of the new standard as of the beginning of the reporting period when the election is made. The provisions of this update are only available until December 31, 2022, when the reference rate replacement activity is expected to have completed. The Company's Revolving Facility currently references the LIBO rate for determining interest payable on outstanding borrowings. The amendments in ASU 2020-04 are elective and apply to all entities that have contracts referencing the LIBO rate. The new guidance provides an expedient which simplifies accounting analyses under current U.S. GAAP for contract modifications if the change is directly related to a change from the LIBO rate to a new interest rate index. The Company plans to amend the Revolving Facility agreement during 2022 to change the reference rate from LIBO to the Secured Overnight Financing Rate ("SOFR"). The Company does not expect the adoption of ASU 2020-04 to have a material impact to the Company's condensed consolidated financial statements or to any key terms of our Revolving Facility other than the discontinuation of the LIBO rate.</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FAIR VALUE MEASUREMENT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Assets and Liabilities Measured at Fair Value on a Recurring Basis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financial liabilities measured at fair value on a recurring basis: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
        </w:trPr>
        <w:tc>
          <w:tcPr>
            <w:tcW w:w="3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35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5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9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29"/>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 Liability</w:t>
            </w:r>
          </w:p>
        </w:tc>
        <w:tc>
          <w:tcPr>
            <w:tcW w:w="88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2,036</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2,423</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r>
    </w:tbl>
    <w:p>
      <w:pPr>
        <w:spacing w:after="0" w:line="171"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The Company maintains the PROG Holdings, Inc. Deferred Compensation Plan, which is an unfunded, nonqualified deferred compensation plan for a select group of management, highly compensated employees and non-employee directors. The liability is recorded in accounts payable and accrued expenses in the condensed consolidated balance sheets. The liability represents benefits accrued for plan participants and is valued at the quoted market prices of the participants’ investment elections, which consist of equity and debt "mirror" funds. As such, the Company has classified the deferred compensation liability as a Level 2 liability.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Assets and Liabilities Not Measured at Fair Value for Which Fair Value is Disclosed</w:t>
      </w:r>
    </w:p>
    <w:p>
      <w:pPr>
        <w:spacing w:after="0" w:line="94"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Vive's loans receivable are measured at amortized cost, net of an allowance for loan losses on the condensed consolidated balance sheets. In estimating fair value for Vive's loans receivable, the Company utilized a discounted cash flow methodology. The Company used various unobservable inputs reflecting its own assumptions, such as contractual future principal and interest cash flows, future loss rates, and discount rates (which consider current interest rates and are adjusted for credit risk, among other factors).</w:t>
      </w:r>
    </w:p>
    <w:p>
      <w:pPr>
        <w:spacing w:after="0" w:line="5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Four's loans receivable, net of an allowance for loan losses and unamortized fees, are included within loans receivable, net on the condensed consolidated balance sheet as of June 30, 2022 and approximated fair value based on a discounted cash flow methodology.</w:t>
      </w:r>
    </w:p>
    <w:p>
      <w:pPr>
        <w:spacing w:after="0" w:line="40" w:lineRule="exact"/>
        <w:rPr>
          <w:sz w:val="20"/>
          <w:szCs w:val="20"/>
          <w:color w:val="auto"/>
        </w:rPr>
      </w:pPr>
    </w:p>
    <w:p>
      <w:pPr>
        <w:ind w:right="480"/>
        <w:spacing w:after="0" w:line="312" w:lineRule="auto"/>
        <w:rPr>
          <w:sz w:val="20"/>
          <w:szCs w:val="20"/>
          <w:color w:val="auto"/>
        </w:rPr>
      </w:pPr>
      <w:r>
        <w:rPr>
          <w:rFonts w:ascii="Times New Roman" w:cs="Times New Roman" w:eastAsia="Times New Roman" w:hAnsi="Times New Roman"/>
          <w:sz w:val="17"/>
          <w:szCs w:val="17"/>
          <w:color w:val="auto"/>
        </w:rPr>
        <w:t>The Company's Senior Notes are carried at amortized cost on the condensed consolidated balance sheets and are measured at fair value for disclosure purposes. The fair value of the Senior Notes was derived from private quoted prices and has been classified as Level 2 in the fair value hierarchy.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fair value of the Company's debt and loans receivable held by Vive and Four: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3"/>
        </w:trPr>
        <w:tc>
          <w:tcPr>
            <w:tcW w:w="3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354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29"/>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88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452,220</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616,080</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Receivable, Net</w:t>
            </w:r>
          </w:p>
        </w:tc>
        <w:tc>
          <w:tcPr>
            <w:tcW w:w="88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161,248</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157,070</w:t>
            </w:r>
          </w:p>
        </w:tc>
      </w:tr>
      <w:tr>
        <w:trPr>
          <w:trHeight w:val="900"/>
        </w:trPr>
        <w:tc>
          <w:tcPr>
            <w:tcW w:w="3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ind w:right="257"/>
              <w:spacing w:after="0"/>
              <w:rPr>
                <w:sz w:val="20"/>
                <w:szCs w:val="20"/>
                <w:color w:val="auto"/>
              </w:rPr>
            </w:pPr>
            <w:r>
              <w:rPr>
                <w:rFonts w:ascii="Times New Roman" w:cs="Times New Roman" w:eastAsia="Times New Roman" w:hAnsi="Times New Roman"/>
                <w:sz w:val="18"/>
                <w:szCs w:val="18"/>
                <w:color w:val="auto"/>
              </w:rPr>
              <w:t>15</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15"/>
        </w:trPr>
        <w:tc>
          <w:tcPr>
            <w:tcW w:w="35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LOANS RECEIVABLE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Company’s loans receivable, net: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6"/>
                <w:szCs w:val="16"/>
                <w:color w:val="auto"/>
              </w:rPr>
            </w:pPr>
          </w:p>
        </w:tc>
        <w:tc>
          <w:tcPr>
            <w:tcW w:w="14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20" w:type="dxa"/>
            <w:vAlign w:val="bottom"/>
          </w:tcPr>
          <w:p>
            <w:pPr>
              <w:spacing w:after="0"/>
              <w:rPr>
                <w:sz w:val="16"/>
                <w:szCs w:val="16"/>
                <w:color w:val="auto"/>
              </w:rPr>
            </w:pPr>
          </w:p>
        </w:tc>
        <w:tc>
          <w:tcPr>
            <w:tcW w:w="14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Receivable, Gross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176,327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172,615</w:t>
            </w:r>
          </w:p>
        </w:tc>
      </w:tr>
      <w:tr>
        <w:trPr>
          <w:trHeight w:val="229"/>
        </w:trPr>
        <w:tc>
          <w:tcPr>
            <w:tcW w:w="78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Unamortized Fees</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(11,952)</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(12,511)</w:t>
            </w: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Receivable, Amortized Cost</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164,375</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160,104</w:t>
            </w:r>
          </w:p>
        </w:tc>
      </w:tr>
      <w:tr>
        <w:trPr>
          <w:trHeight w:val="229"/>
        </w:trPr>
        <w:tc>
          <w:tcPr>
            <w:tcW w:w="78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Allowance for Loan Losses</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(40,797)</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(40,789)</w:t>
            </w:r>
          </w:p>
        </w:tc>
      </w:tr>
      <w:tr>
        <w:trPr>
          <w:trHeight w:val="248"/>
        </w:trPr>
        <w:tc>
          <w:tcPr>
            <w:tcW w:w="784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Loans Receivable, Net of Allowances and Unamortized Fees</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123,578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119,315</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ind w:left="80" w:hanging="72"/>
        <w:spacing w:after="0"/>
        <w:tabs>
          <w:tab w:leader="none" w:pos="80"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Loans Receivable, Net of Allowances and Unamortized Fees, attributable to Four was $2.2 million and $1.5 million as of June 30, 2022 and December 31, 2021, respectively.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credit quality indicators of the amortized cost of the Company's loans receivable by origination year: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03"/>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June 30, 2022</w:t>
            </w:r>
          </w:p>
        </w:tc>
        <w:tc>
          <w:tcPr>
            <w:tcW w:w="240" w:type="dxa"/>
            <w:vAlign w:val="bottom"/>
          </w:tcPr>
          <w:p>
            <w:pPr>
              <w:spacing w:after="0"/>
              <w:rPr>
                <w:sz w:val="17"/>
                <w:szCs w:val="17"/>
                <w:color w:val="auto"/>
              </w:rPr>
            </w:pPr>
          </w:p>
        </w:tc>
        <w:tc>
          <w:tcPr>
            <w:tcW w:w="82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Pr>
          <w:p>
            <w:pPr>
              <w:spacing w:after="0"/>
              <w:rPr>
                <w:sz w:val="17"/>
                <w:szCs w:val="17"/>
                <w:color w:val="auto"/>
              </w:rPr>
            </w:pPr>
          </w:p>
        </w:tc>
        <w:tc>
          <w:tcPr>
            <w:tcW w:w="90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7"/>
                <w:szCs w:val="17"/>
                <w:color w:val="auto"/>
              </w:rPr>
            </w:pPr>
          </w:p>
        </w:tc>
        <w:tc>
          <w:tcPr>
            <w:tcW w:w="90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7"/>
                <w:szCs w:val="17"/>
                <w:color w:val="auto"/>
              </w:rPr>
            </w:pPr>
          </w:p>
        </w:tc>
        <w:tc>
          <w:tcPr>
            <w:tcW w:w="62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2018</w:t>
            </w:r>
          </w:p>
        </w:tc>
        <w:tc>
          <w:tcPr>
            <w:tcW w:w="460" w:type="dxa"/>
            <w:vAlign w:val="bottom"/>
          </w:tcPr>
          <w:p>
            <w:pPr>
              <w:spacing w:after="0"/>
              <w:rPr>
                <w:sz w:val="17"/>
                <w:szCs w:val="17"/>
                <w:color w:val="auto"/>
              </w:rPr>
            </w:pPr>
          </w:p>
        </w:tc>
        <w:tc>
          <w:tcPr>
            <w:tcW w:w="72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Prior</w:t>
            </w:r>
          </w:p>
        </w:tc>
        <w:tc>
          <w:tcPr>
            <w:tcW w:w="320" w:type="dxa"/>
            <w:vAlign w:val="bottom"/>
          </w:tcPr>
          <w:p>
            <w:pPr>
              <w:spacing w:after="0"/>
              <w:rPr>
                <w:sz w:val="17"/>
                <w:szCs w:val="17"/>
                <w:color w:val="auto"/>
              </w:rPr>
            </w:pPr>
          </w:p>
        </w:tc>
        <w:tc>
          <w:tcPr>
            <w:tcW w:w="82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3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2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FICO Score Category:</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600 or Less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5,753</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5,863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1,549</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404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44</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13,746</w:t>
            </w:r>
          </w:p>
        </w:tc>
      </w:tr>
      <w:tr>
        <w:trPr>
          <w:trHeight w:val="229"/>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Between 600 and 700</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47,564</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54,673</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17,024</w:t>
            </w: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4,775</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4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2,167</w:t>
            </w: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127,622</w:t>
            </w:r>
          </w:p>
        </w:tc>
      </w:tr>
      <w:tr>
        <w:trPr>
          <w:trHeight w:val="230"/>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700 or Greater</w:t>
            </w:r>
          </w:p>
        </w:tc>
        <w:tc>
          <w:tcPr>
            <w:tcW w:w="240" w:type="dxa"/>
            <w:vAlign w:val="bottom"/>
          </w:tcPr>
          <w:p>
            <w:pPr>
              <w:spacing w:after="0"/>
              <w:rPr>
                <w:sz w:val="19"/>
                <w:szCs w:val="19"/>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8,762</w:t>
            </w:r>
          </w:p>
        </w:tc>
        <w:tc>
          <w:tcPr>
            <w:tcW w:w="340" w:type="dxa"/>
            <w:vAlign w:val="bottom"/>
          </w:tcPr>
          <w:p>
            <w:pPr>
              <w:spacing w:after="0"/>
              <w:rPr>
                <w:sz w:val="19"/>
                <w:szCs w:val="19"/>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7,296</w:t>
            </w:r>
          </w:p>
        </w:tc>
        <w:tc>
          <w:tcPr>
            <w:tcW w:w="240" w:type="dxa"/>
            <w:vAlign w:val="bottom"/>
          </w:tcPr>
          <w:p>
            <w:pPr>
              <w:spacing w:after="0"/>
              <w:rPr>
                <w:sz w:val="19"/>
                <w:szCs w:val="19"/>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2,074</w:t>
            </w:r>
          </w:p>
        </w:tc>
        <w:tc>
          <w:tcPr>
            <w:tcW w:w="240" w:type="dxa"/>
            <w:vAlign w:val="bottom"/>
          </w:tcPr>
          <w:p>
            <w:pPr>
              <w:spacing w:after="0"/>
              <w:rPr>
                <w:sz w:val="19"/>
                <w:szCs w:val="19"/>
                <w:color w:val="auto"/>
              </w:rPr>
            </w:pPr>
          </w:p>
        </w:tc>
        <w:tc>
          <w:tcPr>
            <w:tcW w:w="8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454</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460" w:type="dxa"/>
            <w:vAlign w:val="bottom"/>
          </w:tcPr>
          <w:p>
            <w:pPr>
              <w:spacing w:after="0"/>
              <w:rPr>
                <w:sz w:val="19"/>
                <w:szCs w:val="19"/>
                <w:color w:val="auto"/>
              </w:rPr>
            </w:pPr>
          </w:p>
        </w:tc>
        <w:tc>
          <w:tcPr>
            <w:tcW w:w="7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461</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19,279</w:t>
            </w:r>
          </w:p>
        </w:tc>
      </w:tr>
      <w:tr>
        <w:trPr>
          <w:trHeight w:val="229"/>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 Score Identified</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3,728</w:t>
            </w: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3,728</w:t>
            </w:r>
          </w:p>
        </w:tc>
      </w:tr>
      <w:tr>
        <w:trPr>
          <w:trHeight w:val="223"/>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Amortized Cost</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65,807</w:t>
            </w: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67,832</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20,647</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5,633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4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2,672</w:t>
            </w:r>
          </w:p>
        </w:tc>
        <w:tc>
          <w:tcPr>
            <w:tcW w:w="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164,375</w:t>
            </w:r>
          </w:p>
        </w:tc>
      </w:tr>
      <w:tr>
        <w:trPr>
          <w:trHeight w:val="20"/>
        </w:trPr>
        <w:tc>
          <w:tcPr>
            <w:tcW w:w="3300" w:type="dxa"/>
            <w:vAlign w:val="bottom"/>
          </w:tcPr>
          <w:p>
            <w:pPr>
              <w:spacing w:after="0" w:line="20" w:lineRule="exact"/>
              <w:rPr>
                <w:sz w:val="1"/>
                <w:szCs w:val="1"/>
                <w:color w:val="auto"/>
              </w:rPr>
            </w:pPr>
          </w:p>
        </w:tc>
        <w:tc>
          <w:tcPr>
            <w:tcW w:w="2300" w:type="dxa"/>
            <w:vAlign w:val="bottom"/>
            <w:tcBorders>
              <w:bottom w:val="single" w:sz="8" w:color="auto"/>
            </w:tcBorders>
            <w:gridSpan w:val="4"/>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453"/>
        </w:trPr>
        <w:tc>
          <w:tcPr>
            <w:tcW w:w="5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Included in the table below is an aging of the loans receivable, gross balance:</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68"/>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 Amounts in Thousands)</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03"/>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Aging Category</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460" w:type="dxa"/>
            <w:vAlign w:val="bottom"/>
          </w:tcPr>
          <w:p>
            <w:pPr>
              <w:spacing w:after="0"/>
              <w:rPr>
                <w:sz w:val="17"/>
                <w:szCs w:val="17"/>
                <w:color w:val="auto"/>
              </w:rPr>
            </w:pPr>
          </w:p>
        </w:tc>
        <w:tc>
          <w:tcPr>
            <w:tcW w:w="1860" w:type="dxa"/>
            <w:vAlign w:val="bottom"/>
            <w:gridSpan w:val="3"/>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3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23"/>
        </w:trPr>
        <w:tc>
          <w:tcPr>
            <w:tcW w:w="3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30-59 Days Past Due</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7.2 %</w:t>
            </w: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r>
      <w:tr>
        <w:trPr>
          <w:trHeight w:val="230"/>
        </w:trPr>
        <w:tc>
          <w:tcPr>
            <w:tcW w:w="3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60-89 Days Past Due</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3.7 %</w:t>
            </w: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229"/>
        </w:trPr>
        <w:tc>
          <w:tcPr>
            <w:tcW w:w="3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90 or More Days Past Due</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4.4 %</w:t>
            </w:r>
          </w:p>
        </w:tc>
        <w:tc>
          <w:tcPr>
            <w:tcW w:w="7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23"/>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Past Due Loans Receivable</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15.3 %</w:t>
            </w: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13.4 %</w:t>
            </w:r>
          </w:p>
        </w:tc>
      </w:tr>
      <w:tr>
        <w:trPr>
          <w:trHeight w:val="229"/>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Loans Receivable</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84.7 %</w:t>
            </w:r>
          </w:p>
        </w:tc>
        <w:tc>
          <w:tcPr>
            <w:tcW w:w="7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86.6 %</w:t>
            </w:r>
          </w:p>
        </w:tc>
      </w:tr>
      <w:tr>
        <w:trPr>
          <w:trHeight w:val="223"/>
        </w:trPr>
        <w:tc>
          <w:tcPr>
            <w:tcW w:w="43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Balance of Credit Card Loans on Nonaccrual Status</w:t>
            </w:r>
          </w:p>
        </w:tc>
        <w:tc>
          <w:tcPr>
            <w:tcW w:w="3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3,567</w:t>
            </w:r>
          </w:p>
        </w:tc>
        <w:tc>
          <w:tcPr>
            <w:tcW w:w="7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3,527</w:t>
            </w:r>
          </w:p>
        </w:tc>
      </w:tr>
      <w:tr>
        <w:trPr>
          <w:trHeight w:val="223"/>
        </w:trPr>
        <w:tc>
          <w:tcPr>
            <w:tcW w:w="674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of Loans Receivable 90 or More Days Past Due and Still Accruing Interest and Fees</w:t>
            </w: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ind w:right="435"/>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components of the allowance for loan losses for the three and six months ended June 30, 2022 and 2021:</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00" w:type="dxa"/>
            <w:vAlign w:val="bottom"/>
          </w:tcPr>
          <w:p>
            <w:pPr>
              <w:spacing w:after="0"/>
              <w:rPr>
                <w:sz w:val="16"/>
                <w:szCs w:val="16"/>
                <w:color w:val="auto"/>
              </w:rPr>
            </w:pPr>
          </w:p>
        </w:tc>
        <w:tc>
          <w:tcPr>
            <w:tcW w:w="2760" w:type="dxa"/>
            <w:vAlign w:val="bottom"/>
            <w:gridSpan w:val="3"/>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980" w:type="dxa"/>
            <w:vAlign w:val="bottom"/>
            <w:gridSpan w:val="3"/>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0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02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40,279</w:t>
            </w:r>
          </w:p>
        </w:tc>
        <w:tc>
          <w:tcPr>
            <w:tcW w:w="106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44,656</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40,789</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42,127</w:t>
            </w:r>
          </w:p>
        </w:tc>
        <w:tc>
          <w:tcPr>
            <w:tcW w:w="0" w:type="dxa"/>
            <w:vAlign w:val="bottom"/>
          </w:tcPr>
          <w:p>
            <w:pPr>
              <w:spacing w:after="0"/>
              <w:rPr>
                <w:sz w:val="1"/>
                <w:szCs w:val="1"/>
                <w:color w:val="auto"/>
              </w:rPr>
            </w:pPr>
          </w:p>
        </w:tc>
      </w:tr>
      <w:tr>
        <w:trPr>
          <w:trHeight w:val="230"/>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102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8,778</w:t>
            </w:r>
          </w:p>
        </w:tc>
        <w:tc>
          <w:tcPr>
            <w:tcW w:w="1060" w:type="dxa"/>
            <w:vAlign w:val="bottom"/>
          </w:tcPr>
          <w:p>
            <w:pPr>
              <w:spacing w:after="0"/>
              <w:rPr>
                <w:sz w:val="19"/>
                <w:szCs w:val="19"/>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4,388</w:t>
            </w:r>
          </w:p>
        </w:tc>
        <w:tc>
          <w:tcPr>
            <w:tcW w:w="440" w:type="dxa"/>
            <w:vAlign w:val="bottom"/>
          </w:tcPr>
          <w:p>
            <w:pPr>
              <w:spacing w:after="0"/>
              <w:rPr>
                <w:sz w:val="19"/>
                <w:szCs w:val="19"/>
                <w:color w:val="auto"/>
              </w:rPr>
            </w:pP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16,460</w:t>
            </w:r>
          </w:p>
        </w:tc>
        <w:tc>
          <w:tcPr>
            <w:tcW w:w="4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10,856</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Charge-offs</w:t>
            </w:r>
          </w:p>
        </w:tc>
        <w:tc>
          <w:tcPr>
            <w:tcW w:w="10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(9,286)</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(4,766)</w:t>
            </w:r>
          </w:p>
        </w:tc>
        <w:tc>
          <w:tcPr>
            <w:tcW w:w="4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(18,674)</w:t>
            </w: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(9,649)</w:t>
            </w:r>
          </w:p>
        </w:tc>
        <w:tc>
          <w:tcPr>
            <w:tcW w:w="0" w:type="dxa"/>
            <w:vAlign w:val="bottom"/>
          </w:tcPr>
          <w:p>
            <w:pPr>
              <w:spacing w:after="0"/>
              <w:rPr>
                <w:sz w:val="1"/>
                <w:szCs w:val="1"/>
                <w:color w:val="auto"/>
              </w:rPr>
            </w:pPr>
          </w:p>
        </w:tc>
      </w:tr>
      <w:tr>
        <w:trPr>
          <w:trHeight w:val="230"/>
        </w:trPr>
        <w:tc>
          <w:tcPr>
            <w:tcW w:w="4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Recoveries</w:t>
            </w:r>
          </w:p>
        </w:tc>
        <w:tc>
          <w:tcPr>
            <w:tcW w:w="10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1,026</w:t>
            </w:r>
          </w:p>
        </w:tc>
        <w:tc>
          <w:tcPr>
            <w:tcW w:w="10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873</w:t>
            </w:r>
          </w:p>
        </w:tc>
        <w:tc>
          <w:tcPr>
            <w:tcW w:w="4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2,222</w:t>
            </w: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0" w:type="dxa"/>
            <w:vAlign w:val="bottom"/>
          </w:tcPr>
          <w:p>
            <w:pPr>
              <w:spacing w:after="0"/>
              <w:rPr>
                <w:sz w:val="1"/>
                <w:szCs w:val="1"/>
                <w:color w:val="auto"/>
              </w:rPr>
            </w:pPr>
          </w:p>
        </w:tc>
      </w:tr>
      <w:tr>
        <w:trPr>
          <w:trHeight w:val="248"/>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02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40,797</w:t>
            </w:r>
          </w:p>
        </w:tc>
        <w:tc>
          <w:tcPr>
            <w:tcW w:w="106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45,151</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40,797</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45,151</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and Regulatory Proceedings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time to time, the Company is party to various legal and regulatory proceedings arising in the ordinary course of business.</w:t>
      </w:r>
    </w:p>
    <w:p>
      <w:pPr>
        <w:spacing w:after="0" w:line="10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Some of the proceedings to which the Company is currently a party are described below. The Company believes it has meritorious defenses to all of the claims described below, and intends to vigorously defend against the claims. However, these proceedings are still developing and due to the inherent uncertainty in litigation, regulatory and similar adversarial proceedings, there can be no guarantee that the Company will ultimately be successful in these proceedings, or in others to which it is currently a party. Substantial losses from these proceedings or the costs of defending them could have a material adverse impact upon the Company’s business, financial position and results of operations.</w:t>
      </w:r>
    </w:p>
    <w:p>
      <w:pPr>
        <w:spacing w:after="0" w:line="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establishes an accrued liability for legal and regulatory proceedings when it determines that a loss is both probable and the amount of the loss can be reasonably estimated. The Company continually monitors its litigation and regulatory exposure and reviews the adequacy of its legal and regulatory reserves on a quarterly basis. The amount of any loss ultimately incurred in relation to matters for which an accrual has been established may be higher or lower than the amounts accrued for such matters.</w:t>
      </w:r>
    </w:p>
    <w:p>
      <w:pPr>
        <w:spacing w:after="0" w:line="4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At June 30, 2022 and December 31, 2021, the Company had accrued an immaterial amount for pending legal and regulatory matters for which it believes losses are probable and the amount of the loss can be reasonably estimated. The Company records its best estimate of the loss to legal and regulatory liabilities in accounts payable and accrued expenses in the condensed consolidated balance sheets. The Company estimates that the aggregate range of reasonably possible loss in excess of accrued liabilities for such probable loss contingencies is immaterial. Those matters for which a probable loss cannot be reasonably estimated are not included within the estimated ranges.</w:t>
      </w:r>
    </w:p>
    <w:p>
      <w:pPr>
        <w:spacing w:after="0" w:line="6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At June 30, 2022, the Company estimated that the aggregate range of loss for all material pending legal and regulatory proceedings for which a loss is reasonably possible, but less likely than probable (i.e., excluding the contingencies described in the preceding paragraph), is immaterial. Those matters for which a reasonable estimate is not possible are not included within estimated ranges and, therefore, the estimated ranges do not represent the Company's maximum loss exposure. The Company’s estimates for legal and regulatory accruals, aggregate probable loss amounts and reasonably possible loss amounts, are all subject to the uncertainties and variables described above.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Inquiries</w:t>
      </w:r>
    </w:p>
    <w:p>
      <w:pPr>
        <w:spacing w:after="0" w:line="10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January 2021, the Company, along with other lease-to-own companies, received a subpoena from the California Department of Financial Protection and Innovation (the "DFPI") requesting the production of documents regarding the Company’s compliance with state consumer protection laws, including new legislation that went into effect on January 1, 2021. Although the Company believes it is in compliance with all applicable consumer financial laws and regulations in California, this inquiry may lead to an enforcement action and/or a consent order, and substantial costs, including legal fees, fines, penalties, and remediation expenses. While the Company intends to preserve defenses surrounding the jurisdiction of DFPI in this matter, it anticipates cooperating with the DFPI in responding to its inquiry.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Matters</w:t>
      </w:r>
    </w:p>
    <w:p>
      <w:pPr>
        <w:spacing w:after="0" w:line="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i w:val="1"/>
          <w:iCs w:val="1"/>
          <w:color w:val="auto"/>
        </w:rPr>
        <w:t>Stein v. Aaron's, Inc., et. al.,</w:t>
      </w:r>
      <w:r>
        <w:rPr>
          <w:rFonts w:ascii="Times New Roman" w:cs="Times New Roman" w:eastAsia="Times New Roman" w:hAnsi="Times New Roman"/>
          <w:sz w:val="18"/>
          <w:szCs w:val="18"/>
          <w:color w:val="auto"/>
        </w:rPr>
        <w:t xml:space="preserve"> filed in the United States District Court for the Southern District of New York on February 28, 2020, the plaintiffs allege that from March 2, 2018 through February 19, 2020, the Company made certain misleading public statements about the Company's business, operations, and prospects. The allegations underlying the lawsuit principally relate to the FTC's inquiry into disclosures related to lease-to-own and other financial products offered by the Company through its historical Aaron's Business and Progressive Leasing segments. The Company believes the claims are without merit and intends to vigorously defend against this lawsuit. The case has been transferred to the United States District Court for the Northern District of Georgia, where the Company has filed a motion to dismiss the case and a final briefing on that motion was filed on November 17, 2020. No ruling has been made on the motion to dismiss.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Contingencies</w:t>
      </w:r>
    </w:p>
    <w:p>
      <w:pPr>
        <w:spacing w:after="0" w:line="10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Management regularly assesses the Company’s insurance deductibles, monitors the Company's litigation and regulatory exposure with the Company's attorneys and evaluates its loss experience. The Company also enters into various contracts in the normal course of business that may subject it to risk of financial loss if counterparties fail to perform their contractual obligations.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Risk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through its Vive segment, had unconditionally cancellable unfunded lending commitments totaling approximately $522.7 million and</w:t>
      </w:r>
    </w:p>
    <w:p>
      <w:pPr>
        <w:spacing w:after="0" w:line="27"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$467.6 million as of June 30, 2022 and December 31, 2021, respectively, that do not give rise to revenues and cash flows. These unfunded commitments arise in the ordinary course of business from credit card agreements with individual cardholders that give them the ability to borrow, against unused amounts, up to the maximum credit limit assigned to their account. While these unfunded amounts represent the total available unused lines of credit, the Company does not anticipate that all cardholders will utilize their entire available line at any given point in time. Commitments to extend unsecured credit are agreements to lend to a cardholder so long as there is no violation of any condition established in the contract. Commitments generally have fixed expiration dates or other termination clauses. Since many of the commitments are expected to expire without being drawn upon, the total commitment amounts do not necessarily represent future cash requirements.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SEGMENTS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2022, the Company has two reportable segments: Progressive Leasing and Vive.</w:t>
      </w:r>
    </w:p>
    <w:p>
      <w:pPr>
        <w:spacing w:after="0" w:line="104"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Progressive Leasing partners with traditional and e-commerce retailers, primarily in the furniture and appliance, jewelry, mobile phones and accessories, mattresses, and automobile electronics and accessories industries to offer a lease-purchase solution for customers who may not have access to traditional credit-based financing options. It does so by offering leases with monthly, semi-monthly, bi-weekly and weekly payment models.</w:t>
      </w:r>
    </w:p>
    <w:p>
      <w:pPr>
        <w:spacing w:after="0" w:line="4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Vive offers a variety of second-look financing programs originated through third-party federally insured banks to customers of participating merchants and, together with Progressive Leasing, allows the Company to provide POS partners with near-prime and below-prime customers one source for financing and leasing transactions.</w:t>
      </w:r>
    </w:p>
    <w:p>
      <w:pPr>
        <w:spacing w:after="0" w:line="54"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7"/>
          <w:szCs w:val="17"/>
          <w:color w:val="auto"/>
        </w:rPr>
        <w:t>As discussed in Note 1 of the 2021 Annual Report, on June 25, 2021, the Company completed the acquisition of Four, an innovative Buy Now, Pay Later company that allows shoppers to pay for merchandise through four interest-free installments. Four is not a reportable segment for the three and six month periods ended June 30, 2022 and 2021 as its revenues, loss before income taxes, and assets are not material to the Company's condensed consolidated financial results. The revenues, loss before income taxes, and assets within "other" below is primarily comprised of the operating activities of Four.</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Disaggregated Revenue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revenue by source and by segment for the three months ended June 30, 2022 and 2021:</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 2022</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June 30, 2021</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1"/>
                <w:szCs w:val="11"/>
                <w:color w:val="auto"/>
              </w:rPr>
            </w:pPr>
          </w:p>
        </w:tc>
        <w:tc>
          <w:tcPr>
            <w:tcW w:w="900" w:type="dxa"/>
            <w:vAlign w:val="bottom"/>
          </w:tcPr>
          <w:p>
            <w:pPr>
              <w:jc w:val="right"/>
              <w:ind w:right="83"/>
              <w:spacing w:after="0" w:line="129" w:lineRule="exact"/>
              <w:rPr>
                <w:sz w:val="20"/>
                <w:szCs w:val="20"/>
                <w:color w:val="auto"/>
              </w:rPr>
            </w:pPr>
            <w:r>
              <w:rPr>
                <w:rFonts w:ascii="Times New Roman" w:cs="Times New Roman" w:eastAsia="Times New Roman" w:hAnsi="Times New Roman"/>
                <w:sz w:val="14"/>
                <w:szCs w:val="14"/>
                <w:b w:val="1"/>
                <w:bCs w:val="1"/>
                <w:color w:val="auto"/>
              </w:rPr>
              <w:t>Progressive</w:t>
            </w:r>
          </w:p>
        </w:tc>
        <w:tc>
          <w:tcPr>
            <w:tcW w:w="300" w:type="dxa"/>
            <w:vAlign w:val="bottom"/>
          </w:tcPr>
          <w:p>
            <w:pPr>
              <w:spacing w:after="0"/>
              <w:rPr>
                <w:sz w:val="11"/>
                <w:szCs w:val="11"/>
                <w:color w:val="auto"/>
              </w:rPr>
            </w:pPr>
          </w:p>
        </w:tc>
        <w:tc>
          <w:tcPr>
            <w:tcW w:w="1060" w:type="dxa"/>
            <w:vAlign w:val="bottom"/>
            <w:vMerge w:val="restart"/>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Vive</w:t>
            </w:r>
          </w:p>
        </w:tc>
        <w:tc>
          <w:tcPr>
            <w:tcW w:w="860" w:type="dxa"/>
            <w:vAlign w:val="bottom"/>
            <w:vMerge w:val="restart"/>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1"/>
                <w:szCs w:val="11"/>
                <w:color w:val="auto"/>
              </w:rPr>
            </w:pPr>
          </w:p>
        </w:tc>
        <w:tc>
          <w:tcPr>
            <w:tcW w:w="820" w:type="dxa"/>
            <w:vAlign w:val="bottom"/>
            <w:vMerge w:val="restart"/>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1"/>
                <w:szCs w:val="11"/>
                <w:color w:val="auto"/>
              </w:rPr>
            </w:pPr>
          </w:p>
        </w:tc>
        <w:tc>
          <w:tcPr>
            <w:tcW w:w="900" w:type="dxa"/>
            <w:vAlign w:val="bottom"/>
          </w:tcPr>
          <w:p>
            <w:pPr>
              <w:jc w:val="right"/>
              <w:ind w:right="83"/>
              <w:spacing w:after="0" w:line="129" w:lineRule="exact"/>
              <w:rPr>
                <w:sz w:val="20"/>
                <w:szCs w:val="20"/>
                <w:color w:val="auto"/>
              </w:rPr>
            </w:pPr>
            <w:r>
              <w:rPr>
                <w:rFonts w:ascii="Times New Roman" w:cs="Times New Roman" w:eastAsia="Times New Roman" w:hAnsi="Times New Roman"/>
                <w:sz w:val="14"/>
                <w:szCs w:val="14"/>
                <w:b w:val="1"/>
                <w:bCs w:val="1"/>
                <w:color w:val="auto"/>
              </w:rPr>
              <w:t>Progressive</w:t>
            </w:r>
          </w:p>
        </w:tc>
        <w:tc>
          <w:tcPr>
            <w:tcW w:w="300" w:type="dxa"/>
            <w:vAlign w:val="bottom"/>
          </w:tcPr>
          <w:p>
            <w:pPr>
              <w:spacing w:after="0"/>
              <w:rPr>
                <w:sz w:val="11"/>
                <w:szCs w:val="11"/>
                <w:color w:val="auto"/>
              </w:rPr>
            </w:pPr>
          </w:p>
        </w:tc>
        <w:tc>
          <w:tcPr>
            <w:tcW w:w="1060" w:type="dxa"/>
            <w:vAlign w:val="bottom"/>
            <w:vMerge w:val="restart"/>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Vive</w:t>
            </w:r>
          </w:p>
        </w:tc>
        <w:tc>
          <w:tcPr>
            <w:tcW w:w="11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40" w:type="dxa"/>
            <w:vAlign w:val="bottom"/>
            <w:vMerge w:val="restart"/>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50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Leasing</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Leasing</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50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Lease Revenues and Fees</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631,344</w:t>
            </w:r>
          </w:p>
        </w:tc>
        <w:tc>
          <w:tcPr>
            <w:tcW w:w="30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 $</w:t>
            </w:r>
          </w:p>
        </w:tc>
        <w:tc>
          <w:tcPr>
            <w:tcW w:w="110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 $</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631,344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646,048</w:t>
            </w:r>
          </w:p>
        </w:tc>
        <w:tc>
          <w:tcPr>
            <w:tcW w:w="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 $</w:t>
            </w:r>
          </w:p>
        </w:tc>
        <w:tc>
          <w:tcPr>
            <w:tcW w:w="11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646,048</w:t>
            </w:r>
          </w:p>
        </w:tc>
        <w:tc>
          <w:tcPr>
            <w:tcW w:w="0" w:type="dxa"/>
            <w:vAlign w:val="bottom"/>
          </w:tcPr>
          <w:p>
            <w:pPr>
              <w:spacing w:after="0"/>
              <w:rPr>
                <w:sz w:val="1"/>
                <w:szCs w:val="1"/>
                <w:color w:val="auto"/>
              </w:rPr>
            </w:pPr>
          </w:p>
        </w:tc>
      </w:tr>
      <w:tr>
        <w:trPr>
          <w:trHeight w:val="175"/>
        </w:trPr>
        <w:tc>
          <w:tcPr>
            <w:tcW w:w="25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Interest and Fees on Loans</w:t>
            </w: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00" w:type="dxa"/>
            <w:vAlign w:val="bottom"/>
            <w:tcBorders>
              <w:bottom w:val="single" w:sz="8" w:color="CCEEFF"/>
            </w:tcBorders>
          </w:tcPr>
          <w:p>
            <w:pPr>
              <w:ind w:left="20"/>
              <w:spacing w:after="0" w:line="243" w:lineRule="exact"/>
              <w:rPr>
                <w:sz w:val="20"/>
                <w:szCs w:val="20"/>
                <w:color w:val="auto"/>
              </w:rPr>
            </w:pPr>
            <w:r>
              <w:rPr>
                <w:rFonts w:ascii="Times New Roman" w:cs="Times New Roman" w:eastAsia="Times New Roman" w:hAnsi="Times New Roman"/>
                <w:sz w:val="18"/>
                <w:szCs w:val="18"/>
                <w:color w:val="auto"/>
              </w:rPr>
              <w:t>Receivable</w:t>
            </w:r>
            <w:r>
              <w:rPr>
                <w:rFonts w:ascii="Times New Roman" w:cs="Times New Roman" w:eastAsia="Times New Roman" w:hAnsi="Times New Roman"/>
                <w:sz w:val="23"/>
                <w:szCs w:val="23"/>
                <w:color w:val="auto"/>
                <w:vertAlign w:val="superscript"/>
              </w:rPr>
              <w:t>2</w:t>
            </w: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rPr>
              <w:t>17,518</w:t>
            </w:r>
          </w:p>
        </w:tc>
        <w:tc>
          <w:tcPr>
            <w:tcW w:w="8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582</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18,100</w:t>
            </w: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rPr>
              <w:t>13,923</w:t>
            </w:r>
          </w:p>
        </w:tc>
        <w:tc>
          <w:tcPr>
            <w:tcW w:w="11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13,923</w:t>
            </w:r>
          </w:p>
        </w:tc>
        <w:tc>
          <w:tcPr>
            <w:tcW w:w="0" w:type="dxa"/>
            <w:vAlign w:val="bottom"/>
          </w:tcPr>
          <w:p>
            <w:pPr>
              <w:spacing w:after="0"/>
              <w:rPr>
                <w:sz w:val="1"/>
                <w:szCs w:val="1"/>
                <w:color w:val="auto"/>
              </w:rPr>
            </w:pPr>
          </w:p>
        </w:tc>
      </w:tr>
      <w:tr>
        <w:trPr>
          <w:trHeight w:val="234"/>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631,344</w:t>
            </w:r>
          </w:p>
        </w:tc>
        <w:tc>
          <w:tcPr>
            <w:tcW w:w="30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17,518 $</w:t>
            </w: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582</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649,444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646,048</w:t>
            </w:r>
          </w:p>
        </w:tc>
        <w:tc>
          <w:tcPr>
            <w:tcW w:w="30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13,923 $</w:t>
            </w:r>
          </w:p>
        </w:tc>
        <w:tc>
          <w:tcPr>
            <w:tcW w:w="112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 $</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659,971</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ind w:left="80" w:hanging="72"/>
        <w:spacing w:after="0"/>
        <w:tabs>
          <w:tab w:leader="none" w:pos="80" w:val="left"/>
        </w:tabs>
        <w:numPr>
          <w:ilvl w:val="0"/>
          <w:numId w:val="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 xml:space="preserve">Revenue within the scope of ASC 842,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w:t>
      </w:r>
    </w:p>
    <w:p>
      <w:pPr>
        <w:spacing w:after="0" w:line="40" w:lineRule="exact"/>
        <w:rPr>
          <w:sz w:val="20"/>
          <w:szCs w:val="20"/>
          <w:color w:val="auto"/>
        </w:rPr>
      </w:pPr>
    </w:p>
    <w:p>
      <w:pPr>
        <w:ind w:left="80" w:hanging="72"/>
        <w:spacing w:after="0"/>
        <w:tabs>
          <w:tab w:leader="none" w:pos="80"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 xml:space="preserve">Revenue within the scope of ASC 310, </w:t>
      </w:r>
      <w:r>
        <w:rPr>
          <w:rFonts w:ascii="Times New Roman" w:cs="Times New Roman" w:eastAsia="Times New Roman" w:hAnsi="Times New Roman"/>
          <w:sz w:val="14"/>
          <w:szCs w:val="14"/>
          <w:i w:val="1"/>
          <w:iCs w:val="1"/>
          <w:color w:val="auto"/>
        </w:rPr>
        <w:t>Receivables</w:t>
      </w:r>
      <w:r>
        <w:rPr>
          <w:rFonts w:ascii="Times New Roman" w:cs="Times New Roman" w:eastAsia="Times New Roman" w:hAnsi="Times New Roman"/>
          <w:sz w:val="14"/>
          <w:szCs w:val="14"/>
          <w:color w:val="auto"/>
        </w:rPr>
        <w: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revenue by source and by segment for the six months ended June 30, 2022 and 2021:</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1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 2022</w:t>
            </w: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Six Months Ended June 30, 2021</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1"/>
                <w:szCs w:val="11"/>
                <w:color w:val="auto"/>
              </w:rPr>
            </w:pPr>
          </w:p>
        </w:tc>
        <w:tc>
          <w:tcPr>
            <w:tcW w:w="920" w:type="dxa"/>
            <w:vAlign w:val="bottom"/>
          </w:tcPr>
          <w:p>
            <w:pPr>
              <w:jc w:val="right"/>
              <w:ind w:right="103"/>
              <w:spacing w:after="0" w:line="131" w:lineRule="exact"/>
              <w:rPr>
                <w:sz w:val="20"/>
                <w:szCs w:val="20"/>
                <w:color w:val="auto"/>
              </w:rPr>
            </w:pPr>
            <w:r>
              <w:rPr>
                <w:rFonts w:ascii="Times New Roman" w:cs="Times New Roman" w:eastAsia="Times New Roman" w:hAnsi="Times New Roman"/>
                <w:sz w:val="14"/>
                <w:szCs w:val="14"/>
                <w:b w:val="1"/>
                <w:bCs w:val="1"/>
                <w:color w:val="auto"/>
              </w:rPr>
              <w:t>Progressive</w:t>
            </w:r>
          </w:p>
        </w:tc>
        <w:tc>
          <w:tcPr>
            <w:tcW w:w="280" w:type="dxa"/>
            <w:vAlign w:val="bottom"/>
          </w:tcPr>
          <w:p>
            <w:pPr>
              <w:spacing w:after="0"/>
              <w:rPr>
                <w:sz w:val="11"/>
                <w:szCs w:val="11"/>
                <w:color w:val="auto"/>
              </w:rPr>
            </w:pPr>
          </w:p>
        </w:tc>
        <w:tc>
          <w:tcPr>
            <w:tcW w:w="1060" w:type="dxa"/>
            <w:vAlign w:val="bottom"/>
            <w:vMerge w:val="restart"/>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Vive</w:t>
            </w:r>
          </w:p>
        </w:tc>
        <w:tc>
          <w:tcPr>
            <w:tcW w:w="820" w:type="dxa"/>
            <w:vAlign w:val="bottom"/>
            <w:vMerge w:val="restart"/>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80" w:type="dxa"/>
            <w:vAlign w:val="bottom"/>
          </w:tcPr>
          <w:p>
            <w:pPr>
              <w:spacing w:after="0"/>
              <w:rPr>
                <w:sz w:val="11"/>
                <w:szCs w:val="11"/>
                <w:color w:val="auto"/>
              </w:rPr>
            </w:pPr>
          </w:p>
        </w:tc>
        <w:tc>
          <w:tcPr>
            <w:tcW w:w="820" w:type="dxa"/>
            <w:vAlign w:val="bottom"/>
            <w:vMerge w:val="restart"/>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1"/>
                <w:szCs w:val="11"/>
                <w:color w:val="auto"/>
              </w:rPr>
            </w:pPr>
          </w:p>
        </w:tc>
        <w:tc>
          <w:tcPr>
            <w:tcW w:w="920" w:type="dxa"/>
            <w:vAlign w:val="bottom"/>
          </w:tcPr>
          <w:p>
            <w:pPr>
              <w:jc w:val="right"/>
              <w:ind w:right="103"/>
              <w:spacing w:after="0" w:line="131" w:lineRule="exact"/>
              <w:rPr>
                <w:sz w:val="20"/>
                <w:szCs w:val="20"/>
                <w:color w:val="auto"/>
              </w:rPr>
            </w:pPr>
            <w:r>
              <w:rPr>
                <w:rFonts w:ascii="Times New Roman" w:cs="Times New Roman" w:eastAsia="Times New Roman" w:hAnsi="Times New Roman"/>
                <w:sz w:val="14"/>
                <w:szCs w:val="14"/>
                <w:b w:val="1"/>
                <w:bCs w:val="1"/>
                <w:color w:val="auto"/>
              </w:rPr>
              <w:t>Progressive</w:t>
            </w:r>
          </w:p>
        </w:tc>
        <w:tc>
          <w:tcPr>
            <w:tcW w:w="280" w:type="dxa"/>
            <w:vAlign w:val="bottom"/>
          </w:tcPr>
          <w:p>
            <w:pPr>
              <w:spacing w:after="0"/>
              <w:rPr>
                <w:sz w:val="11"/>
                <w:szCs w:val="11"/>
                <w:color w:val="auto"/>
              </w:rPr>
            </w:pPr>
          </w:p>
        </w:tc>
        <w:tc>
          <w:tcPr>
            <w:tcW w:w="1060" w:type="dxa"/>
            <w:vAlign w:val="bottom"/>
            <w:vMerge w:val="restart"/>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Vive</w:t>
            </w:r>
          </w:p>
        </w:tc>
        <w:tc>
          <w:tcPr>
            <w:tcW w:w="11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60" w:type="dxa"/>
            <w:vAlign w:val="bottom"/>
            <w:vMerge w:val="restart"/>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5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Leasing</w:t>
            </w: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Leasing</w:t>
            </w: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50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Lease Revenues and Fees</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1,324,258</w:t>
            </w:r>
          </w:p>
        </w:tc>
        <w:tc>
          <w:tcPr>
            <w:tcW w:w="28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 $</w:t>
            </w:r>
          </w:p>
        </w:tc>
        <w:tc>
          <w:tcPr>
            <w:tcW w:w="110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 $</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1,324,258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1,354,030</w:t>
            </w:r>
          </w:p>
        </w:tc>
        <w:tc>
          <w:tcPr>
            <w:tcW w:w="28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 $</w:t>
            </w:r>
          </w:p>
        </w:tc>
        <w:tc>
          <w:tcPr>
            <w:tcW w:w="11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1,354,030</w:t>
            </w:r>
          </w:p>
        </w:tc>
        <w:tc>
          <w:tcPr>
            <w:tcW w:w="0" w:type="dxa"/>
            <w:vAlign w:val="bottom"/>
          </w:tcPr>
          <w:p>
            <w:pPr>
              <w:spacing w:after="0"/>
              <w:rPr>
                <w:sz w:val="1"/>
                <w:szCs w:val="1"/>
                <w:color w:val="auto"/>
              </w:rPr>
            </w:pPr>
          </w:p>
        </w:tc>
      </w:tr>
      <w:tr>
        <w:trPr>
          <w:trHeight w:val="176"/>
        </w:trPr>
        <w:tc>
          <w:tcPr>
            <w:tcW w:w="25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Interest and Fees on Loans</w:t>
            </w: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00" w:type="dxa"/>
            <w:vAlign w:val="bottom"/>
            <w:tcBorders>
              <w:bottom w:val="single" w:sz="8" w:color="CCEEFF"/>
            </w:tcBorders>
          </w:tcPr>
          <w:p>
            <w:pPr>
              <w:ind w:left="20"/>
              <w:spacing w:after="0" w:line="243" w:lineRule="exact"/>
              <w:rPr>
                <w:sz w:val="20"/>
                <w:szCs w:val="20"/>
                <w:color w:val="auto"/>
              </w:rPr>
            </w:pPr>
            <w:r>
              <w:rPr>
                <w:rFonts w:ascii="Times New Roman" w:cs="Times New Roman" w:eastAsia="Times New Roman" w:hAnsi="Times New Roman"/>
                <w:sz w:val="18"/>
                <w:szCs w:val="18"/>
                <w:color w:val="auto"/>
              </w:rPr>
              <w:t>Receivable</w:t>
            </w:r>
            <w:r>
              <w:rPr>
                <w:rFonts w:ascii="Times New Roman" w:cs="Times New Roman" w:eastAsia="Times New Roman" w:hAnsi="Times New Roman"/>
                <w:sz w:val="23"/>
                <w:szCs w:val="23"/>
                <w:color w:val="auto"/>
                <w:vertAlign w:val="superscript"/>
              </w:rPr>
              <w:t>2</w:t>
            </w: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rPr>
              <w:t>34,634</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1,016</w:t>
            </w:r>
          </w:p>
        </w:tc>
        <w:tc>
          <w:tcPr>
            <w:tcW w:w="2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35,650</w:t>
            </w: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rPr>
              <w:t>26,942</w:t>
            </w:r>
          </w:p>
        </w:tc>
        <w:tc>
          <w:tcPr>
            <w:tcW w:w="110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26,942</w:t>
            </w:r>
          </w:p>
        </w:tc>
        <w:tc>
          <w:tcPr>
            <w:tcW w:w="0" w:type="dxa"/>
            <w:vAlign w:val="bottom"/>
          </w:tcPr>
          <w:p>
            <w:pPr>
              <w:spacing w:after="0"/>
              <w:rPr>
                <w:sz w:val="1"/>
                <w:szCs w:val="1"/>
                <w:color w:val="auto"/>
              </w:rPr>
            </w:pPr>
          </w:p>
        </w:tc>
      </w:tr>
      <w:tr>
        <w:trPr>
          <w:trHeight w:val="234"/>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1,324,258</w:t>
            </w:r>
          </w:p>
        </w:tc>
        <w:tc>
          <w:tcPr>
            <w:tcW w:w="28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34,634 $</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1,016</w:t>
            </w:r>
          </w:p>
        </w:tc>
        <w:tc>
          <w:tcPr>
            <w:tcW w:w="2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1,359,908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1,354,030</w:t>
            </w:r>
          </w:p>
        </w:tc>
        <w:tc>
          <w:tcPr>
            <w:tcW w:w="28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26,942 $</w:t>
            </w:r>
          </w:p>
        </w:tc>
        <w:tc>
          <w:tcPr>
            <w:tcW w:w="110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 $</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1,380,972</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2" w:lineRule="exact"/>
        <w:rPr>
          <w:sz w:val="20"/>
          <w:szCs w:val="20"/>
          <w:color w:val="auto"/>
        </w:rPr>
      </w:pPr>
    </w:p>
    <w:p>
      <w:pPr>
        <w:ind w:left="80" w:hanging="72"/>
        <w:spacing w:after="0"/>
        <w:tabs>
          <w:tab w:leader="none" w:pos="80"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 xml:space="preserve">Revenue within the scope of ASC 842,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w:t>
      </w:r>
    </w:p>
    <w:p>
      <w:pPr>
        <w:spacing w:after="0" w:line="44" w:lineRule="exact"/>
        <w:rPr>
          <w:sz w:val="20"/>
          <w:szCs w:val="20"/>
          <w:color w:val="auto"/>
        </w:rPr>
      </w:pPr>
    </w:p>
    <w:p>
      <w:pPr>
        <w:ind w:left="80" w:hanging="72"/>
        <w:spacing w:after="0"/>
        <w:tabs>
          <w:tab w:leader="none" w:pos="80" w:val="left"/>
        </w:tabs>
        <w:numPr>
          <w:ilvl w:val="0"/>
          <w:numId w:val="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 xml:space="preserve">Revenue within the scope of ASC 310, </w:t>
      </w:r>
      <w:r>
        <w:rPr>
          <w:rFonts w:ascii="Times New Roman" w:cs="Times New Roman" w:eastAsia="Times New Roman" w:hAnsi="Times New Roman"/>
          <w:sz w:val="14"/>
          <w:szCs w:val="14"/>
          <w:i w:val="1"/>
          <w:iCs w:val="1"/>
          <w:color w:val="auto"/>
        </w:rPr>
        <w:t>Receivables</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Measurement of Segment Profit or Loss and Segment Assets</w:t>
      </w:r>
    </w:p>
    <w:p>
      <w:pPr>
        <w:spacing w:after="0" w:line="10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evaluates performance and allocates resources based on revenues and earnings (loss) before income taxes from operations. The Company determines earnings (loss) before income tax expense for all reportable segments in accordance with U.S. GAAP. A portion of interest expense is allocated from the Progressive Leasing segment to the Vive segment based on the balance of outstanding intercompany debt.</w:t>
      </w:r>
    </w:p>
    <w:p>
      <w:pPr>
        <w:spacing w:after="0" w:line="4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incurred various corporate overhead expenses for certain executive management, finance, treasury, tax, audit, legal, risk management, and other overhead functions during the three and six months ended June 30, 2022 and 2021. Corporate overhead expenses incurred are primarily reflected as expenses of the Progressive Leasing segment and an immaterial amount was allocated to the Vive segment. The allocation of corporate overhead costs to the Progressive Leasing and Vive segments is consistent with how the chief operating decision maker analyzed performance and allocated resources among the segments of the Company during the three and six months ended June 30, 2022 and 2021. The following is a summary of earnings before income tax expense by segment: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6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40" w:type="dxa"/>
            <w:vAlign w:val="bottom"/>
            <w:gridSpan w:val="3"/>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0" w:type="dxa"/>
            <w:vAlign w:val="bottom"/>
          </w:tcPr>
          <w:p>
            <w:pPr>
              <w:spacing w:after="0"/>
              <w:rPr>
                <w:sz w:val="1"/>
                <w:szCs w:val="1"/>
                <w:color w:val="auto"/>
              </w:rPr>
            </w:pPr>
          </w:p>
        </w:tc>
      </w:tr>
      <w:tr>
        <w:trPr>
          <w:trHeight w:val="23"/>
        </w:trPr>
        <w:tc>
          <w:tcPr>
            <w:tcW w:w="4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60" w:type="dxa"/>
            <w:vAlign w:val="bottom"/>
            <w:tcBorders>
              <w:bottom w:val="single" w:sz="8" w:color="auto"/>
            </w:tcBorders>
            <w:vMerge w:val="continue"/>
          </w:tcPr>
          <w:p>
            <w:pPr>
              <w:spacing w:after="0"/>
              <w:rPr>
                <w:sz w:val="16"/>
                <w:szCs w:val="16"/>
                <w:color w:val="auto"/>
              </w:rPr>
            </w:pPr>
          </w:p>
        </w:tc>
        <w:tc>
          <w:tcPr>
            <w:tcW w:w="30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Before Income Tax Expense:</w:t>
            </w:r>
          </w:p>
        </w:tc>
        <w:tc>
          <w:tcPr>
            <w:tcW w:w="30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Progressive Leasing</w:t>
            </w:r>
          </w:p>
        </w:tc>
        <w:tc>
          <w:tcPr>
            <w:tcW w:w="3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27,383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87,521</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Vive</w:t>
            </w:r>
          </w:p>
        </w:tc>
        <w:tc>
          <w:tcPr>
            <w:tcW w:w="30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3,355</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4,353</w:t>
            </w:r>
          </w:p>
        </w:tc>
        <w:tc>
          <w:tcPr>
            <w:tcW w:w="0" w:type="dxa"/>
            <w:vAlign w:val="bottom"/>
          </w:tcPr>
          <w:p>
            <w:pPr>
              <w:spacing w:after="0"/>
              <w:rPr>
                <w:sz w:val="1"/>
                <w:szCs w:val="1"/>
                <w:color w:val="auto"/>
              </w:rPr>
            </w:pPr>
          </w:p>
        </w:tc>
      </w:tr>
      <w:tr>
        <w:trPr>
          <w:trHeight w:val="229"/>
        </w:trPr>
        <w:tc>
          <w:tcPr>
            <w:tcW w:w="47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0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(3,409)</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Earnings Before Income Tax Expense</w:t>
            </w:r>
          </w:p>
        </w:tc>
        <w:tc>
          <w:tcPr>
            <w:tcW w:w="3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27,329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91,874</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3140" w:type="dxa"/>
            <w:vAlign w:val="bottom"/>
            <w:tcBorders>
              <w:top w:val="single" w:sz="8" w:color="CCEEFF"/>
              <w:bottom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47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40" w:type="dxa"/>
            <w:vAlign w:val="bottom"/>
            <w:gridSpan w:val="3"/>
          </w:tcPr>
          <w:p>
            <w:pPr>
              <w:jc w:val="right"/>
              <w:ind w:right="77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60" w:type="dxa"/>
            <w:vAlign w:val="bottom"/>
            <w:tcBorders>
              <w:bottom w:val="single" w:sz="8" w:color="auto"/>
            </w:tcBorders>
            <w:vMerge w:val="continue"/>
          </w:tcPr>
          <w:p>
            <w:pPr>
              <w:spacing w:after="0"/>
              <w:rPr>
                <w:sz w:val="16"/>
                <w:szCs w:val="16"/>
                <w:color w:val="auto"/>
              </w:rPr>
            </w:pPr>
          </w:p>
        </w:tc>
        <w:tc>
          <w:tcPr>
            <w:tcW w:w="30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Before Income Tax Expense:</w:t>
            </w:r>
          </w:p>
        </w:tc>
        <w:tc>
          <w:tcPr>
            <w:tcW w:w="30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Progressive Leasing</w:t>
            </w:r>
          </w:p>
        </w:tc>
        <w:tc>
          <w:tcPr>
            <w:tcW w:w="3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69,464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191,693</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Vive</w:t>
            </w:r>
          </w:p>
        </w:tc>
        <w:tc>
          <w:tcPr>
            <w:tcW w:w="30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7,778</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5,777</w:t>
            </w:r>
          </w:p>
        </w:tc>
        <w:tc>
          <w:tcPr>
            <w:tcW w:w="0" w:type="dxa"/>
            <w:vAlign w:val="bottom"/>
          </w:tcPr>
          <w:p>
            <w:pPr>
              <w:spacing w:after="0"/>
              <w:rPr>
                <w:sz w:val="1"/>
                <w:szCs w:val="1"/>
                <w:color w:val="auto"/>
              </w:rPr>
            </w:pPr>
          </w:p>
        </w:tc>
      </w:tr>
      <w:tr>
        <w:trPr>
          <w:trHeight w:val="230"/>
        </w:trPr>
        <w:tc>
          <w:tcPr>
            <w:tcW w:w="47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0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(10,077)</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Earnings Before Income Tax Expense</w:t>
            </w:r>
          </w:p>
        </w:tc>
        <w:tc>
          <w:tcPr>
            <w:tcW w:w="3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67,165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197,470</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following is a summary of total assets by segment:</w:t>
            </w:r>
          </w:p>
        </w:tc>
        <w:tc>
          <w:tcPr>
            <w:tcW w:w="3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4760" w:type="dxa"/>
            <w:vAlign w:val="bottom"/>
            <w:vMerge w:val="continue"/>
          </w:tcPr>
          <w:p>
            <w:pPr>
              <w:spacing w:after="0"/>
              <w:rPr>
                <w:sz w:val="24"/>
                <w:szCs w:val="24"/>
                <w:color w:val="auto"/>
              </w:rPr>
            </w:pPr>
          </w:p>
        </w:tc>
        <w:tc>
          <w:tcPr>
            <w:tcW w:w="3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4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20" w:type="dxa"/>
            <w:vAlign w:val="bottom"/>
          </w:tcPr>
          <w:p>
            <w:pPr>
              <w:spacing w:after="0"/>
              <w:rPr>
                <w:sz w:val="24"/>
                <w:szCs w:val="24"/>
                <w:color w:val="auto"/>
              </w:rPr>
            </w:pPr>
          </w:p>
        </w:tc>
        <w:tc>
          <w:tcPr>
            <w:tcW w:w="148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476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Progressive Leasing</w:t>
            </w:r>
          </w:p>
        </w:tc>
        <w:tc>
          <w:tcPr>
            <w:tcW w:w="3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1,297,216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1,445,612</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Vive</w:t>
            </w:r>
          </w:p>
        </w:tc>
        <w:tc>
          <w:tcPr>
            <w:tcW w:w="30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151,608</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149,628</w:t>
            </w:r>
          </w:p>
        </w:tc>
        <w:tc>
          <w:tcPr>
            <w:tcW w:w="0" w:type="dxa"/>
            <w:vAlign w:val="bottom"/>
          </w:tcPr>
          <w:p>
            <w:pPr>
              <w:spacing w:after="0"/>
              <w:rPr>
                <w:sz w:val="1"/>
                <w:szCs w:val="1"/>
                <w:color w:val="auto"/>
              </w:rPr>
            </w:pPr>
          </w:p>
        </w:tc>
      </w:tr>
      <w:tr>
        <w:trPr>
          <w:trHeight w:val="229"/>
        </w:trPr>
        <w:tc>
          <w:tcPr>
            <w:tcW w:w="47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0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29,566</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26,521</w:t>
            </w:r>
          </w:p>
        </w:tc>
        <w:tc>
          <w:tcPr>
            <w:tcW w:w="0" w:type="dxa"/>
            <w:vAlign w:val="bottom"/>
          </w:tcPr>
          <w:p>
            <w:pPr>
              <w:spacing w:after="0"/>
              <w:rPr>
                <w:sz w:val="1"/>
                <w:szCs w:val="1"/>
                <w:color w:val="auto"/>
              </w:rPr>
            </w:pPr>
          </w:p>
        </w:tc>
      </w:tr>
      <w:tr>
        <w:trPr>
          <w:trHeight w:val="248"/>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1,478,390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1,621,761</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bottom w:val="single" w:sz="8" w:color="CCEEFF"/>
            </w:tcBorders>
            <w:vMerge w:val="restart"/>
          </w:tcPr>
          <w:p>
            <w:pPr>
              <w:jc w:val="right"/>
              <w:ind w:right="2030"/>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476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60" w:type="dxa"/>
            <w:vAlign w:val="bottom"/>
            <w:tcBorders>
              <w:bottom w:val="single" w:sz="8" w:color="9A9A9A"/>
            </w:tcBorders>
          </w:tcPr>
          <w:p>
            <w:pPr>
              <w:spacing w:after="0"/>
              <w:rPr>
                <w:sz w:val="10"/>
                <w:szCs w:val="10"/>
                <w:color w:val="auto"/>
              </w:rPr>
            </w:pPr>
          </w:p>
        </w:tc>
        <w:tc>
          <w:tcPr>
            <w:tcW w:w="30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RESTRUCTURING EXPENSES</w:t>
      </w:r>
    </w:p>
    <w:p>
      <w:pPr>
        <w:spacing w:after="0" w:line="9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During the second quarter of 2022, the Company initiated restructuring activities intended to reduce expenses, consolidate certain segment corporate headquarters, and align the cost structure of the business with the Company's near-term revenue outlook. The Company recorded restructuring expenses of $4.3 million for the three and six months ended June 30, 2022, which were primarily comprised of severance associated with a reduction in Progressive Leasing's workforce that occurred in the second quarter of 2022 and operating lease right-of-use asset impairment charges related to the relocation of the Vive corporate headquarters to the Company's corporate office building. The Company will continue to monitor the impacts of changes in macroeconomic conditions on its businesses and may take additional steps to further adjust the Company's cost structure based on unfavorable changes in the these conditions, which may result in further restructuring charges in future periods.</w:t>
      </w:r>
    </w:p>
    <w:p>
      <w:pPr>
        <w:spacing w:after="0" w:line="6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restructuring charges recorded within operating expenses in the condensed consolidated statements of earnings for the three and six months ended June 30, 2022:</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Three and Six Months Ended June 30, 2022</w:t>
            </w: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Progressive Leasing</w:t>
            </w:r>
          </w:p>
        </w:tc>
        <w:tc>
          <w:tcPr>
            <w:tcW w:w="3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Vive</w:t>
            </w:r>
          </w:p>
        </w:tc>
        <w:tc>
          <w:tcPr>
            <w:tcW w:w="1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3,535</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07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w:t>
            </w:r>
          </w:p>
        </w:tc>
        <w:tc>
          <w:tcPr>
            <w:tcW w:w="0" w:type="dxa"/>
            <w:vAlign w:val="bottom"/>
          </w:tcPr>
          <w:p>
            <w:pPr>
              <w:spacing w:after="0"/>
              <w:rPr>
                <w:sz w:val="1"/>
                <w:szCs w:val="1"/>
                <w:color w:val="auto"/>
              </w:rPr>
            </w:pPr>
          </w:p>
        </w:tc>
      </w:tr>
      <w:tr>
        <w:trPr>
          <w:trHeight w:val="23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 Impairment</w:t>
            </w:r>
          </w:p>
        </w:tc>
        <w:tc>
          <w:tcPr>
            <w:tcW w:w="160" w:type="dxa"/>
            <w:vAlign w:val="bottom"/>
          </w:tcPr>
          <w:p>
            <w:pPr>
              <w:spacing w:after="0"/>
              <w:rPr>
                <w:sz w:val="19"/>
                <w:szCs w:val="19"/>
                <w:color w:val="auto"/>
              </w:rPr>
            </w:pPr>
          </w:p>
        </w:tc>
        <w:tc>
          <w:tcPr>
            <w:tcW w:w="15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4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655</w:t>
            </w:r>
          </w:p>
        </w:tc>
        <w:tc>
          <w:tcPr>
            <w:tcW w:w="1340" w:type="dxa"/>
            <w:vAlign w:val="bottom"/>
          </w:tcPr>
          <w:p>
            <w:pPr>
              <w:spacing w:after="0"/>
              <w:rPr>
                <w:sz w:val="19"/>
                <w:szCs w:val="19"/>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138</w:t>
            </w:r>
          </w:p>
        </w:tc>
        <w:tc>
          <w:tcPr>
            <w:tcW w:w="3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23"/>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Restructuring Expenses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3,673</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655</w:t>
            </w:r>
          </w:p>
        </w:tc>
        <w:tc>
          <w:tcPr>
            <w:tcW w:w="1340" w:type="dxa"/>
            <w:vAlign w:val="bottom"/>
            <w:tcBorders>
              <w:bottom w:val="single" w:sz="8" w:color="auto"/>
            </w:tcBorders>
          </w:tcPr>
          <w:p>
            <w:pPr>
              <w:jc w:val="right"/>
              <w:ind w:right="107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4,328</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accrual and payment activity related to the restructuring program for the six months ended June 30, 2022:</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60" w:type="dxa"/>
            <w:vAlign w:val="bottom"/>
            <w:vMerge w:val="restart"/>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Severance</w:t>
            </w:r>
          </w:p>
        </w:tc>
        <w:tc>
          <w:tcPr>
            <w:tcW w:w="360" w:type="dxa"/>
            <w:vAlign w:val="bottom"/>
          </w:tcPr>
          <w:p>
            <w:pPr>
              <w:spacing w:after="0"/>
              <w:rPr>
                <w:sz w:val="13"/>
                <w:szCs w:val="13"/>
                <w:color w:val="auto"/>
              </w:rPr>
            </w:pPr>
          </w:p>
        </w:tc>
        <w:tc>
          <w:tcPr>
            <w:tcW w:w="158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Other Restructuring</w:t>
            </w:r>
          </w:p>
        </w:tc>
        <w:tc>
          <w:tcPr>
            <w:tcW w:w="460" w:type="dxa"/>
            <w:vAlign w:val="bottom"/>
          </w:tcPr>
          <w:p>
            <w:pPr>
              <w:spacing w:after="0"/>
              <w:rPr>
                <w:sz w:val="13"/>
                <w:szCs w:val="13"/>
                <w:color w:val="auto"/>
              </w:rPr>
            </w:pPr>
          </w:p>
        </w:tc>
        <w:tc>
          <w:tcPr>
            <w:tcW w:w="1220" w:type="dxa"/>
            <w:vAlign w:val="bottom"/>
            <w:vMerge w:val="restart"/>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880" w:type="dxa"/>
            <w:vAlign w:val="bottom"/>
            <w:tcBorders>
              <w:bottom w:val="single" w:sz="8" w:color="auto"/>
            </w:tcBorders>
            <w:vMerge w:val="continue"/>
          </w:tcPr>
          <w:p>
            <w:pPr>
              <w:spacing w:after="0"/>
              <w:rPr>
                <w:sz w:val="17"/>
                <w:szCs w:val="17"/>
                <w:color w:val="auto"/>
              </w:rPr>
            </w:pPr>
          </w:p>
        </w:tc>
        <w:tc>
          <w:tcPr>
            <w:tcW w:w="19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Activities</w:t>
            </w:r>
          </w:p>
        </w:tc>
        <w:tc>
          <w:tcPr>
            <w:tcW w:w="4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22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Charges</w:t>
            </w:r>
          </w:p>
        </w:tc>
        <w:tc>
          <w:tcPr>
            <w:tcW w:w="1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3,535</w:t>
            </w:r>
          </w:p>
        </w:tc>
        <w:tc>
          <w:tcPr>
            <w:tcW w:w="360" w:type="dxa"/>
            <w:vAlign w:val="bottom"/>
          </w:tcPr>
          <w:p>
            <w:pPr>
              <w:spacing w:after="0"/>
              <w:rPr>
                <w:sz w:val="19"/>
                <w:szCs w:val="19"/>
                <w:color w:val="auto"/>
              </w:rPr>
            </w:pPr>
          </w:p>
        </w:tc>
        <w:tc>
          <w:tcPr>
            <w:tcW w:w="15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138</w:t>
            </w:r>
          </w:p>
        </w:tc>
        <w:tc>
          <w:tcPr>
            <w:tcW w:w="4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3,673</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19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893</w:t>
            </w:r>
          </w:p>
        </w:tc>
        <w:tc>
          <w:tcPr>
            <w:tcW w:w="3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50</w:t>
            </w:r>
          </w:p>
        </w:tc>
        <w:tc>
          <w:tcPr>
            <w:tcW w:w="4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0" w:type="dxa"/>
            <w:vAlign w:val="bottom"/>
          </w:tcPr>
          <w:p>
            <w:pPr>
              <w:spacing w:after="0"/>
              <w:rPr>
                <w:sz w:val="1"/>
                <w:szCs w:val="1"/>
                <w:color w:val="auto"/>
              </w:rPr>
            </w:pPr>
          </w:p>
        </w:tc>
      </w:tr>
      <w:tr>
        <w:trPr>
          <w:trHeight w:val="223"/>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 2022</w:t>
            </w:r>
          </w:p>
        </w:tc>
        <w:tc>
          <w:tcPr>
            <w:tcW w:w="19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2,642</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88</w:t>
            </w:r>
          </w:p>
        </w:tc>
        <w:tc>
          <w:tcPr>
            <w:tcW w:w="4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2,730</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9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20</w:t>
            </w: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388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8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jc w:val="both"/>
        <w:ind w:right="360"/>
        <w:spacing w:after="0" w:line="273" w:lineRule="auto"/>
        <w:rPr>
          <w:sz w:val="20"/>
          <w:szCs w:val="20"/>
          <w:color w:val="auto"/>
        </w:rPr>
      </w:pPr>
      <w:r>
        <w:rPr>
          <w:rFonts w:ascii="Times New Roman" w:cs="Times New Roman" w:eastAsia="Times New Roman" w:hAnsi="Times New Roman"/>
          <w:sz w:val="17"/>
          <w:szCs w:val="17"/>
          <w:i w:val="1"/>
          <w:iCs w:val="1"/>
          <w:color w:val="auto"/>
        </w:rPr>
        <w:t>Special Note Regarding Forward-Looking Information: Except for historical information contained herein, the matters set forth in this Form 10-Q are forward-looking statements. These statements are based on management’s current expectations and plans, which involve risks and uncertainties. Such forward-looking statements generally can be identified by the use of forward-looking terminology such as "anticipate," "believe," "could," "estimate,"</w:t>
      </w:r>
    </w:p>
    <w:p>
      <w:pPr>
        <w:spacing w:after="0" w:line="1"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7"/>
          <w:szCs w:val="17"/>
          <w:i w:val="1"/>
          <w:iCs w:val="1"/>
          <w:color w:val="auto"/>
        </w:rPr>
        <w:t>"expect," "intend," "plan," "project," "would," "should," and similar expressions. You are cautioned not to place undue reliance on these forward-looking statements, which speak only as of the filing date of this Quarterly Report and which involve risks and uncertainties that may cause actual results to differ materially from those set forth in these statements. These risks and uncertainties include factors that could cause our actual results and financial condition to differ materially from those expressed or implied in our forward-looking statements. Such risks and uncertainties include, among others, those discussed in "Item 1A. Risk Factors" in the Company's Annual Report on Form 10-K for the fiscal year ended December 31, 2021 (the "2021 Annual Report").</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i w:val="1"/>
          <w:iCs w:val="1"/>
          <w:color w:val="auto"/>
        </w:rPr>
        <w:t>Except as required by law, the Company undertakes no obligation to update these forward-looking statements to reflect subsequent events or circumstances after the filing date of this Quarterly Report.</w:t>
      </w:r>
    </w:p>
    <w:p>
      <w:pPr>
        <w:spacing w:after="0" w:line="4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condensed consolidated financial statements as of and for the three and six months ended June 30, 2022 and 2021, including the notes to those statements, appearing elsewhere in this report. We also suggest that management’s discussion and analysis appearing in this report be read in conjunction with the management’s discussion and analysis and consolidated financial statements included in our 2021 Annual Report.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08" w:lineRule="exact"/>
        <w:rPr>
          <w:sz w:val="20"/>
          <w:szCs w:val="20"/>
          <w:color w:val="auto"/>
        </w:rPr>
      </w:pPr>
    </w:p>
    <w:p>
      <w:pPr>
        <w:jc w:val="both"/>
        <w:ind w:right="120"/>
        <w:spacing w:after="0" w:line="289" w:lineRule="auto"/>
        <w:rPr>
          <w:sz w:val="20"/>
          <w:szCs w:val="20"/>
          <w:color w:val="auto"/>
        </w:rPr>
      </w:pPr>
      <w:r>
        <w:rPr>
          <w:rFonts w:ascii="Times New Roman" w:cs="Times New Roman" w:eastAsia="Times New Roman" w:hAnsi="Times New Roman"/>
          <w:sz w:val="17"/>
          <w:szCs w:val="17"/>
          <w:color w:val="auto"/>
        </w:rPr>
        <w:t>PROG Holdings, Inc. ("we," "our," "us," the "Company," or "PROG Holdings") is a financial technology holding company that provides leading financial solutions to empower consumers and retailers. PROG Holdings has two reportable segments: (i) Progressive Leasing, an e-commerce, app-based, and in-store point-of-sale lease-to-own solutions provider; and (ii) Vive Financial ("Vive"), an omnichannel provider of second-look revolving credit products.</w:t>
      </w:r>
    </w:p>
    <w:p>
      <w:pPr>
        <w:spacing w:after="0" w:line="3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Progressive Leasing segment provides consumers with lease-purchase solutions through its point-of-sale partner locations and e-commerce website partners in the United States (collectively, "POS partners"). It does so by purchasing the merchandise desired by customers from the POS partners and, in turn, leasing that merchandise to the customers through a cancellable lease-to-own transaction. Progressive Leasing has no stores of its own, but rather offers lease-purchase solutions to the customers of traditional and e-commerce retailers.</w:t>
      </w:r>
    </w:p>
    <w:p>
      <w:pPr>
        <w:spacing w:after="0" w:line="4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Our Vive segment primarily serves customers that may not qualify for traditional prime lending offers who desire to purchase goods and services from participating merchants. Vive offers customized programs with services that include revolving loans through private label and Vive-branded credit cards. Vive's current network of POS partner locations and e-commerce websites includes furniture, mattresses, home exercise equipment, and home improvement retailers, as well as medical and dental service providers.</w:t>
      </w:r>
    </w:p>
    <w:p>
      <w:pPr>
        <w:spacing w:after="0" w:line="5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June 25, 2021, the Company completed the acquisition of Four Technologies, Inc. ("Four"), an innovative Buy Now, Pay Later company that allows shoppers to pay for merchandise through four interest-free installments. Four’s proprietary platform capabilities and its base of customers and retailers expand PROG Holdings’ ecosystem of financial technology offerings by introducing a payment solution that further diversifies the Company's consumer fintech offerings. Shoppers use Four to purchase furniture, clothing, electronics, health and beauty products, footwear, jewelry, and other consumer goods from retailers across the United States. Four is not expected to be a reportable segment in 2022 as its revenues, loss before income taxes, and assets are not expected to be material to the Company's consolidated financial results in 2022.</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Business Environment and Outlook</w:t>
      </w:r>
    </w:p>
    <w:p>
      <w:pPr>
        <w:spacing w:after="0" w:line="10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continues to operate in a challenging macro environment as inflation levels in the United States, particularly in gas, food, and housing costs, are putting significant pressure on our customers, resulting in an unfavorable impact on our lease portfolio performance and Gross Merchandise Volume ("GMV") production. Customer payment delinquencies and uncollectible renewal payments experienced within our Progressive Leasing segment during the first half of 2022 were higher than projected, and exceeded levels experienced during recent pre-pandemic periods. In response to increasing customer delinquencies and higher write-offs, the Company has tightened its lease decisioning, resulting in fewer lease approvals and an adverse impact on GMV production. The significant increase in inflation levels has also resulted in a decrease in demand from our customer base at key national and regional POS partners.</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4" w:right="379" w:bottom="1440" w:gutter="0" w:footer="0" w:header="0"/>
        </w:sectPr>
      </w:pPr>
    </w:p>
    <w:bookmarkStart w:id="21" w:name="page22"/>
    <w:bookmarkEnd w:id="21"/>
    <w:p>
      <w:pPr>
        <w:ind w:right="80"/>
        <w:spacing w:after="0" w:line="266" w:lineRule="auto"/>
        <w:rPr>
          <w:sz w:val="20"/>
          <w:szCs w:val="20"/>
          <w:color w:val="auto"/>
        </w:rPr>
      </w:pPr>
      <w:r>
        <w:rPr>
          <w:rFonts w:ascii="Times New Roman" w:cs="Times New Roman" w:eastAsia="Times New Roman" w:hAnsi="Times New Roman"/>
          <w:sz w:val="18"/>
          <w:szCs w:val="18"/>
          <w:color w:val="auto"/>
        </w:rPr>
        <w:t>In light of these macro environment challenges and to align the cost structure of the business with our near-term revenue outlook, the Company executed on a number of cost reduction initiatives during the second quarter of 2022 to drive efficiencies and right-size variable costs, while attempting to minimize the negative impact on growth-related initiatives.</w:t>
      </w:r>
    </w:p>
    <w:p>
      <w:pPr>
        <w:spacing w:after="0" w:line="4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anticipates a challenging and volatile macro environment for the remainder of 2022, which may result in continued customer payment delinquencies and associated write-offs at levels higher than typical pre-pandemic levels. The relatively high levels of customer payment delinquencies and related write-offs experienced during the second quarter of 2022 may continue for an extended period of time, and/or may increase to even higher levels, which would have an unfavorable impact on our performance.</w:t>
      </w:r>
    </w:p>
    <w:p>
      <w:pPr>
        <w:spacing w:after="0" w:line="12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COVID-19 Pandemic. </w:t>
      </w:r>
      <w:r>
        <w:rPr>
          <w:rFonts w:ascii="Times New Roman" w:cs="Times New Roman" w:eastAsia="Times New Roman" w:hAnsi="Times New Roman"/>
          <w:sz w:val="18"/>
          <w:szCs w:val="18"/>
          <w:color w:val="auto"/>
        </w:rPr>
        <w:t>On March 11, 2020, the World Health Organization declared the outbreak of COVID-19 a pandemic. Since then, the COVID-19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pandemic has negatively impacted the global economy, disrupted global supply chains and, at times, increased unemployment levels. Although the temporary showroom and/or store closures or reduced hours and scope of operations that many of our POS partners experienced during portions of 2020 and 2021 generally have eased, the significant increase in COVID-19 cases from the Omicron variant during the first quarter of 2022 resulted in many of our POS partners temporarily resuming such measures during the first half of the quarter, and also resulted in increases in employee absenteeism and declines in customer traffic for many of our POS partners, all of which unfavorably impacted Progressive Leasing's GMV. In addition, other pandemic-related factors continue to unfavorably impact many of our POS partners, including supply chain disruptions resulting in shortages of available products at certain POS partners, primarily in the appliance, electronics and furniture categories. These pandemic-related developments, as well as the emergence of the BA.5 Omicron subvariant or other subvariants, may have an unfavorable impact on Progressive Leasing’s generation of new lease agreements, Vive's generation of new loans, and on our revenues and earnings, in future periods.</w:t>
      </w:r>
    </w:p>
    <w:p>
      <w:pPr>
        <w:spacing w:after="0" w:line="6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COVID-19 pandemic may adversely impact our business, results of operations, financial condition, liquidity and/or cash flow in future periods. The extent of any such adverse impacts will depend on future developments, which are highly uncertain and cannot be predicted, including (i) the length and severity of the pandemic, including, for example, the emergence of contagious and harmful variants of COVID-19, such as the BA.5 Omicron subvariant, and localized outbreaks or additional waves of COVID-19 cases; (ii) the impact of any such outbreaks on our customers, POS partners, and employees; (iii) the nature of any government orders issued in response to such outbreaks, and/or self-imposed restrictions on operations being implemented by our POS partners; (iv) the effectiveness, availability and level of use of vaccines; and (v) whether there is any additional government stimulus in response to the pandemic, as well as the nature, timing and amount of such stimulus payments.</w:t>
      </w:r>
    </w:p>
    <w:p>
      <w:pPr>
        <w:spacing w:after="0" w:line="67"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In response to the unfavorable economic impacts arising out of the COVID-19 pandemic, the United States government enacted certain fiscal stimulus measures in several phases during 2020 and 2021 to assist in counteracting the economic disruptions caused by the pandemic. We believe all of those government stimulus measures provided economic support to many of our customers, resulting in an increase in payment activity and early lease buyouts, as well as lease merchandise, accounts receivable, and loan receivable write-offs trending lower during 2020 and the first half of 2021. We believe a significant portion of our Progressive Leasing and Vive customers received stimulus payments and/or federally supplemented unemployment payments during 2020 and the first half of 2021, which enabled them to continue making payments to us under their lease-to-own or credit card agreements, despite the economically challenging times resulting from the COVID-19 pandemic. The expiration of the government stimulus payments, enhanced unemployment benefits and child tax credits that were implemented in response to the COVID-19 pandemic, and other adverse economic impacts arising out of the pandemic also contributed to unfavorable results of operations in the second quarter of 2022 as compared to the same period in 2021.</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6"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Highlights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significant financial highlights from the three months ended June 30, 2022:</w:t>
      </w:r>
    </w:p>
    <w:p>
      <w:pPr>
        <w:spacing w:after="0" w:line="90" w:lineRule="exact"/>
        <w:rPr>
          <w:sz w:val="20"/>
          <w:szCs w:val="20"/>
          <w:color w:val="auto"/>
        </w:rPr>
      </w:pPr>
    </w:p>
    <w:p>
      <w:pPr>
        <w:ind w:left="660" w:right="120" w:hanging="328"/>
        <w:spacing w:after="0" w:line="289" w:lineRule="auto"/>
        <w:tabs>
          <w:tab w:leader="none" w:pos="656" w:val="left"/>
        </w:tabs>
        <w:numPr>
          <w:ilvl w:val="0"/>
          <w:numId w:val="10"/>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7"/>
          <w:szCs w:val="17"/>
          <w:color w:val="auto"/>
        </w:rPr>
        <w:t>We reported revenues of $649.4 million, a decrease of 1.6% compared to the second quarter of 2021. The decrease in revenues was primarily due to an increase in customer payment delinquencies and uncollectible renewal payments, as well as a decrease in customers exercising early lease buyout options, as compared to the stronger customer payment activity and low delinquencies we experienced during the second quarter of 2021.</w:t>
      </w:r>
    </w:p>
    <w:p>
      <w:pPr>
        <w:spacing w:after="0" w:line="36" w:lineRule="exact"/>
        <w:rPr>
          <w:rFonts w:ascii="Times New Roman" w:cs="Times New Roman" w:eastAsia="Times New Roman" w:hAnsi="Times New Roman"/>
          <w:sz w:val="13"/>
          <w:szCs w:val="13"/>
          <w:b w:val="1"/>
          <w:bCs w:val="1"/>
          <w:i w:val="1"/>
          <w:iCs w:val="1"/>
          <w:color w:val="auto"/>
        </w:rPr>
      </w:pPr>
    </w:p>
    <w:p>
      <w:pPr>
        <w:ind w:left="660" w:right="60" w:hanging="328"/>
        <w:spacing w:after="0" w:line="255" w:lineRule="auto"/>
        <w:tabs>
          <w:tab w:leader="none" w:pos="656" w:val="left"/>
        </w:tabs>
        <w:numPr>
          <w:ilvl w:val="0"/>
          <w:numId w:val="10"/>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8"/>
          <w:szCs w:val="18"/>
          <w:color w:val="auto"/>
        </w:rPr>
        <w:t>GMV decreased by $12.0 million for Progressive Leasing and $4.7 million for Vive in the second quarter of 2022, compared to the same period in the prior year. We believe these decreases were due to our tighter lease decisioning, resulting in fewer lease approvals; the rapid increase in the rate of inflation eroding customers' disposable incomes and reducing their demand for many of the goods sold by our POS partners; and the absence of government stimulus payments and enhanced unemployment benefits and child tax credits, which we believe benefited many of our customers in the first half of 2021. These negative impacts were partially offset by increased penetration in e-commerce. In the second quarter of 2022, GMV generated through e-commerce platforms represented 15.6% of Progressive Leasing's total GMV, compared to 13.0% in the second quarter of 2021.</w:t>
      </w:r>
    </w:p>
    <w:p>
      <w:pPr>
        <w:spacing w:after="0" w:line="67" w:lineRule="exact"/>
        <w:rPr>
          <w:rFonts w:ascii="Times New Roman" w:cs="Times New Roman" w:eastAsia="Times New Roman" w:hAnsi="Times New Roman"/>
          <w:sz w:val="14"/>
          <w:szCs w:val="14"/>
          <w:b w:val="1"/>
          <w:bCs w:val="1"/>
          <w:i w:val="1"/>
          <w:iCs w:val="1"/>
          <w:color w:val="auto"/>
        </w:rPr>
      </w:pPr>
    </w:p>
    <w:p>
      <w:pPr>
        <w:ind w:left="660" w:right="80" w:hanging="328"/>
        <w:spacing w:after="0" w:line="258" w:lineRule="auto"/>
        <w:tabs>
          <w:tab w:leader="none" w:pos="656" w:val="left"/>
        </w:tabs>
        <w:numPr>
          <w:ilvl w:val="0"/>
          <w:numId w:val="10"/>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8"/>
          <w:szCs w:val="18"/>
          <w:color w:val="auto"/>
        </w:rPr>
        <w:t>Earnings before income taxes decreased to $27.3 million compared to $91.9 million in the same period in 2021. In addition to lower revenues, the decrease was primarily driven by an increase of $30.5 million in the provision for lease merchandise write-offs, as a result of higher customer payment delinquencies and write-offs, as compared to the strong customer payment activity and low lease merchandise charge-offs we experienced during the second quarter of 2021. The decrease was also driven by a $14.9 million increase in operating expenses, as compared to the second quarter of 2021, and an additional $9.2 million of interest expense related to the Senior Notes issued in November 2021.</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Metrics</w:t>
      </w:r>
    </w:p>
    <w:p>
      <w:pPr>
        <w:spacing w:after="0" w:line="92"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7"/>
          <w:szCs w:val="17"/>
          <w:i w:val="1"/>
          <w:iCs w:val="1"/>
          <w:color w:val="auto"/>
        </w:rPr>
        <w:t>Gross Merchandise Volume</w:t>
      </w:r>
      <w:r>
        <w:rPr>
          <w:rFonts w:ascii="Times New Roman" w:cs="Times New Roman" w:eastAsia="Times New Roman" w:hAnsi="Times New Roman"/>
          <w:sz w:val="17"/>
          <w:szCs w:val="17"/>
          <w:color w:val="auto"/>
        </w:rPr>
        <w:t>. We believe GMV is a key performance indicator of our Progressive Leasing and Vive segments, as it provides the total value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new lease and loan originations written into our portfolio over a specified time period. GMV does not represent revenues earned by the Company, but rather is a leading indicator we use in forecasting revenues the Company may earn in the short-term. Progressive Leasing's GMV is defined as the retail price of merchandise acquired by Progressive Leasing, which it then expects to lease to its customers. Vive GMV is defined as gross loan originations.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GMV for the Company for the periods presented: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80" w:type="dxa"/>
            <w:vAlign w:val="bottom"/>
            <w:gridSpan w:val="3"/>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40" w:type="dxa"/>
            <w:vAlign w:val="bottom"/>
          </w:tcPr>
          <w:p>
            <w:pPr>
              <w:spacing w:after="0"/>
              <w:rPr>
                <w:sz w:val="16"/>
                <w:szCs w:val="16"/>
                <w:color w:val="auto"/>
              </w:rPr>
            </w:pPr>
          </w:p>
        </w:tc>
        <w:tc>
          <w:tcPr>
            <w:tcW w:w="152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 and In Thousands)</w:t>
            </w: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6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096"/>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Progressive Leasing</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494,003</w:t>
            </w:r>
          </w:p>
        </w:tc>
        <w:tc>
          <w:tcPr>
            <w:tcW w:w="4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505,971</w:t>
            </w:r>
          </w:p>
        </w:tc>
        <w:tc>
          <w:tcPr>
            <w:tcW w:w="4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color w:val="auto"/>
              </w:rPr>
              <w:t>(11,968)</w:t>
            </w:r>
          </w:p>
        </w:tc>
        <w:tc>
          <w:tcPr>
            <w:tcW w:w="1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Vive</w:t>
            </w:r>
          </w:p>
        </w:tc>
        <w:tc>
          <w:tcPr>
            <w:tcW w:w="340" w:type="dxa"/>
            <w:vAlign w:val="bottom"/>
          </w:tcPr>
          <w:p>
            <w:pPr>
              <w:spacing w:after="0"/>
              <w:rPr>
                <w:sz w:val="19"/>
                <w:szCs w:val="19"/>
                <w:color w:val="auto"/>
              </w:rPr>
            </w:pPr>
          </w:p>
        </w:tc>
        <w:tc>
          <w:tcPr>
            <w:tcW w:w="11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47,003</w:t>
            </w:r>
          </w:p>
        </w:tc>
        <w:tc>
          <w:tcPr>
            <w:tcW w:w="440" w:type="dxa"/>
            <w:vAlign w:val="bottom"/>
          </w:tcPr>
          <w:p>
            <w:pPr>
              <w:spacing w:after="0"/>
              <w:rPr>
                <w:sz w:val="19"/>
                <w:szCs w:val="19"/>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51,701</w:t>
            </w:r>
          </w:p>
        </w:tc>
        <w:tc>
          <w:tcPr>
            <w:tcW w:w="440" w:type="dxa"/>
            <w:vAlign w:val="bottom"/>
          </w:tcPr>
          <w:p>
            <w:pPr>
              <w:spacing w:after="0"/>
              <w:rPr>
                <w:sz w:val="19"/>
                <w:szCs w:val="19"/>
                <w:color w:val="auto"/>
              </w:rPr>
            </w:pPr>
          </w:p>
        </w:tc>
        <w:tc>
          <w:tcPr>
            <w:tcW w:w="1520" w:type="dxa"/>
            <w:vAlign w:val="bottom"/>
          </w:tcPr>
          <w:p>
            <w:pPr>
              <w:jc w:val="right"/>
              <w:ind w:right="516"/>
              <w:spacing w:after="0"/>
              <w:rPr>
                <w:sz w:val="20"/>
                <w:szCs w:val="20"/>
                <w:color w:val="auto"/>
              </w:rPr>
            </w:pPr>
            <w:r>
              <w:rPr>
                <w:rFonts w:ascii="Times New Roman" w:cs="Times New Roman" w:eastAsia="Times New Roman" w:hAnsi="Times New Roman"/>
                <w:sz w:val="18"/>
                <w:szCs w:val="18"/>
                <w:color w:val="auto"/>
              </w:rPr>
              <w:t>(4,698)</w:t>
            </w:r>
          </w:p>
        </w:tc>
        <w:tc>
          <w:tcPr>
            <w:tcW w:w="1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11,394</w:t>
            </w:r>
          </w:p>
        </w:tc>
        <w:tc>
          <w:tcPr>
            <w:tcW w:w="4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rPr>
              <w:t>11,394</w:t>
            </w:r>
          </w:p>
        </w:tc>
        <w:tc>
          <w:tcPr>
            <w:tcW w:w="100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GMV</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552,400</w:t>
            </w:r>
          </w:p>
        </w:tc>
        <w:tc>
          <w:tcPr>
            <w:tcW w:w="4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557,672</w:t>
            </w:r>
          </w:p>
        </w:tc>
        <w:tc>
          <w:tcPr>
            <w:tcW w:w="4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8"/>
                <w:szCs w:val="18"/>
                <w:color w:val="auto"/>
              </w:rPr>
              <w:t>(5,272)</w:t>
            </w:r>
          </w:p>
        </w:tc>
        <w:tc>
          <w:tcPr>
            <w:tcW w:w="10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nmf—Calculation is not meaningful</w:t>
      </w:r>
    </w:p>
    <w:p>
      <w:pPr>
        <w:spacing w:after="0" w:line="10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believe the decrease in Progressive Leasing's and Vive's GMV was primarily due to our tighter lease decisioning to address the unfavorable economic conditions that were present in the second quarter of 2022, resulting in fewer lease approvals; the rapid increase in the rate of inflation to levels not seen in more than forty years, which eroded customers' disposable incomes and their demand for many of the goods sold by our POS partners; the absence of government stimulus payments and enhanced unemployment benefits and child tax credits, which we believe benefited many of our customers in the first half of 2021, and the lingering effects of the COVID-19 pandemic, including supply chain disruptions for many of our POS partners, all of which have unfavorably impacted the generation of new leases and loans. The decrease in Progressive Leasing's GMV from those factors was partially offset by continued growth from e-commerce channels. E-commerce channels generated 15.6% of Progressive Leasing's GMV in the second quarter of 2022 compared to 13.0% in the second quarter of 2021.</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3" w:name="page24"/>
    <w:bookmarkEnd w:id="23"/>
    <w:p>
      <w:pPr>
        <w:ind w:right="4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Active Customer Count. </w:t>
      </w:r>
      <w:r>
        <w:rPr>
          <w:rFonts w:ascii="Times New Roman" w:cs="Times New Roman" w:eastAsia="Times New Roman" w:hAnsi="Times New Roman"/>
          <w:sz w:val="18"/>
          <w:szCs w:val="18"/>
          <w:color w:val="auto"/>
        </w:rPr>
        <w:t>Our active customer count represents the total number of customers that have an active lease agreement with our Progressive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Leasing segment or an active loan with our Vive segment. The following table presents our consolidated active customer count, which includes an immaterial number of customers that have both an active lease agreement and loan agreement, for the Company for the periods presented: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June 30 (Unaudited)</w:t>
            </w:r>
          </w:p>
        </w:tc>
        <w:tc>
          <w:tcPr>
            <w:tcW w:w="2000" w:type="dxa"/>
            <w:vAlign w:val="bottom"/>
          </w:tcPr>
          <w:p>
            <w:pPr>
              <w:jc w:val="right"/>
              <w:ind w:right="9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0" w:type="dxa"/>
            <w:vAlign w:val="bottom"/>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78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Active Customer Count:</w:t>
            </w:r>
          </w:p>
        </w:tc>
        <w:tc>
          <w:tcPr>
            <w:tcW w:w="20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7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Progressive Leasing</w:t>
            </w:r>
          </w:p>
        </w:tc>
        <w:tc>
          <w:tcPr>
            <w:tcW w:w="2000" w:type="dxa"/>
            <w:vAlign w:val="bottom"/>
          </w:tcPr>
          <w:p>
            <w:pPr>
              <w:jc w:val="right"/>
              <w:ind w:right="334"/>
              <w:spacing w:after="0"/>
              <w:rPr>
                <w:sz w:val="20"/>
                <w:szCs w:val="20"/>
                <w:color w:val="auto"/>
              </w:rPr>
            </w:pPr>
            <w:r>
              <w:rPr>
                <w:rFonts w:ascii="Times New Roman" w:cs="Times New Roman" w:eastAsia="Times New Roman" w:hAnsi="Times New Roman"/>
                <w:sz w:val="18"/>
                <w:szCs w:val="18"/>
                <w:color w:val="auto"/>
              </w:rPr>
              <w:t>965,000</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905,000</w:t>
            </w:r>
          </w:p>
        </w:tc>
      </w:tr>
      <w:tr>
        <w:trPr>
          <w:trHeight w:val="230"/>
        </w:trPr>
        <w:tc>
          <w:tcPr>
            <w:tcW w:w="7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Vive</w:t>
            </w:r>
          </w:p>
        </w:tc>
        <w:tc>
          <w:tcPr>
            <w:tcW w:w="200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8"/>
                <w:szCs w:val="18"/>
                <w:color w:val="auto"/>
              </w:rPr>
              <w:t>90,000</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81,000</w:t>
            </w:r>
          </w:p>
        </w:tc>
      </w:tr>
      <w:tr>
        <w:trPr>
          <w:trHeight w:val="229"/>
        </w:trPr>
        <w:tc>
          <w:tcPr>
            <w:tcW w:w="78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0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8"/>
                <w:szCs w:val="18"/>
                <w:color w:val="auto"/>
              </w:rPr>
              <w:t>22,000</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Active Customer Count</w:t>
            </w:r>
          </w:p>
        </w:tc>
        <w:tc>
          <w:tcPr>
            <w:tcW w:w="2000" w:type="dxa"/>
            <w:vAlign w:val="bottom"/>
            <w:tcBorders>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8"/>
                <w:szCs w:val="18"/>
                <w:color w:val="auto"/>
              </w:rPr>
              <w:t>1,077,000</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986,000</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increase in the number of Progressive Leasing customers was primarily due to a large number of customers electing to exercise early lease buyouts in the second quarter of 2021, which reduced our active customer count for the three months ended June 30, 2021. The increase in the number of Vive customers was primarily driven by strong GMV growth in 2021.</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Earnings Before Income Taxes</w:t>
      </w:r>
    </w:p>
    <w:p>
      <w:pPr>
        <w:spacing w:after="0" w:line="10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 this MD&amp;A section, we review our condensed consolidated results. For the three and six months ended June 30, 2022 and the comparable prior year period, some of the key revenue, cost and expense items that effected earnings before income taxes were as follows:</w:t>
      </w:r>
    </w:p>
    <w:p>
      <w:pPr>
        <w:spacing w:after="0" w:line="25"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We separate our total revenues into two components: (i) lease revenues and fees and (ii) interest and fees on loans receivable. Lease 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fees include all revenues derived from lease agreements from our Progressive Leasing segment. Lease revenues are recorded net of a provision for uncollectible renewal payments. Interest and fees on loans receivable represents merchant fees, finance charges and annual and other fees earned on outstanding loans in our Vive segment and, to a lesser extent, from Four.</w:t>
      </w:r>
    </w:p>
    <w:p>
      <w:pPr>
        <w:spacing w:after="0" w:line="58"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i w:val="1"/>
          <w:iCs w:val="1"/>
          <w:color w:val="auto"/>
        </w:rPr>
        <w:t>Depreciation of Lease Merchandise</w:t>
      </w:r>
      <w:r>
        <w:rPr>
          <w:rFonts w:ascii="Times New Roman" w:cs="Times New Roman" w:eastAsia="Times New Roman" w:hAnsi="Times New Roman"/>
          <w:sz w:val="18"/>
          <w:szCs w:val="18"/>
          <w:color w:val="auto"/>
        </w:rPr>
        <w:t>. Depreciation of lease merchandise primarily reflects the expense associated with depreciating merchandise leased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by Progressive Leasing.</w:t>
      </w:r>
    </w:p>
    <w:p>
      <w:pPr>
        <w:spacing w:after="0" w:line="37"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Provision for Lease Merchandise Write-offs. </w:t>
      </w:r>
      <w:r>
        <w:rPr>
          <w:rFonts w:ascii="Times New Roman" w:cs="Times New Roman" w:eastAsia="Times New Roman" w:hAnsi="Times New Roman"/>
          <w:sz w:val="18"/>
          <w:szCs w:val="18"/>
          <w:color w:val="auto"/>
        </w:rPr>
        <w:t>The provision for lease merchandise write-offs represents the estimated merchandise losses incurred but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yet identified by management and adjustments for changes in estimates for the allowance for lease merchandise write-offs.</w:t>
      </w:r>
    </w:p>
    <w:p>
      <w:pPr>
        <w:spacing w:after="0" w:line="23"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8"/>
          <w:szCs w:val="18"/>
          <w:i w:val="1"/>
          <w:iCs w:val="1"/>
          <w:color w:val="auto"/>
        </w:rPr>
        <w:t>Operating Expenses</w:t>
      </w:r>
      <w:r>
        <w:rPr>
          <w:rFonts w:ascii="Times New Roman" w:cs="Times New Roman" w:eastAsia="Times New Roman" w:hAnsi="Times New Roman"/>
          <w:sz w:val="18"/>
          <w:szCs w:val="18"/>
          <w:color w:val="auto"/>
        </w:rPr>
        <w:t>. Operating expenses include personnel costs, stock-based compensation expense, occupancy costs, advertising, professional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sales acquisition expense, computer software expense, the provision for loan losses, fixed asset depreciation expense, intangible asset amortization, and restructuring, among other expenses.</w:t>
      </w:r>
    </w:p>
    <w:p>
      <w:pPr>
        <w:spacing w:after="0" w:line="52"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consists of interest incurred on the Company's senior secured revolving credit facility (the "Revolving Facility") and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Company's Senior Notes.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Results of Operations – Three months ended June 30, 2022 and 2021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40" w:type="dxa"/>
            <w:vAlign w:val="bottom"/>
            <w:gridSpan w:val="3"/>
          </w:tcPr>
          <w:p>
            <w:pPr>
              <w:jc w:val="right"/>
              <w:ind w:right="79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150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3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093"/>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Revenues and Fees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631,344</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646,048</w:t>
            </w: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rPr>
              <w:t>(14,704)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and Fees on Loans Receivable</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18,100</w:t>
            </w:r>
          </w:p>
        </w:tc>
        <w:tc>
          <w:tcPr>
            <w:tcW w:w="4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13,923</w:t>
            </w:r>
          </w:p>
        </w:tc>
        <w:tc>
          <w:tcPr>
            <w:tcW w:w="4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533"/>
              <w:spacing w:after="0"/>
              <w:rPr>
                <w:sz w:val="20"/>
                <w:szCs w:val="20"/>
                <w:color w:val="auto"/>
              </w:rPr>
            </w:pPr>
            <w:r>
              <w:rPr>
                <w:rFonts w:ascii="Times New Roman" w:cs="Times New Roman" w:eastAsia="Times New Roman" w:hAnsi="Times New Roman"/>
                <w:sz w:val="18"/>
                <w:szCs w:val="18"/>
                <w:color w:val="auto"/>
              </w:rPr>
              <w:t>4,177</w:t>
            </w:r>
          </w:p>
        </w:tc>
        <w:tc>
          <w:tcPr>
            <w:tcW w:w="10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23"/>
        </w:trPr>
        <w:tc>
          <w:tcPr>
            <w:tcW w:w="5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649,444</w:t>
            </w:r>
          </w:p>
        </w:tc>
        <w:tc>
          <w:tcPr>
            <w:tcW w:w="440" w:type="dxa"/>
            <w:vAlign w:val="bottom"/>
          </w:tcPr>
          <w:p>
            <w:pPr>
              <w:spacing w:after="0"/>
              <w:rPr>
                <w:sz w:val="19"/>
                <w:szCs w:val="19"/>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659,971</w:t>
            </w:r>
          </w:p>
        </w:tc>
        <w:tc>
          <w:tcPr>
            <w:tcW w:w="420" w:type="dxa"/>
            <w:vAlign w:val="bottom"/>
          </w:tcPr>
          <w:p>
            <w:pPr>
              <w:spacing w:after="0"/>
              <w:rPr>
                <w:sz w:val="19"/>
                <w:szCs w:val="19"/>
                <w:color w:val="auto"/>
              </w:rPr>
            </w:pPr>
          </w:p>
        </w:tc>
        <w:tc>
          <w:tcPr>
            <w:tcW w:w="150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rPr>
              <w:t>(10,527)</w:t>
            </w:r>
          </w:p>
        </w:tc>
        <w:tc>
          <w:tcPr>
            <w:tcW w:w="10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of Lease Merchandise</w:t>
            </w:r>
          </w:p>
        </w:tc>
        <w:tc>
          <w:tcPr>
            <w:tcW w:w="340" w:type="dxa"/>
            <w:vAlign w:val="bottom"/>
          </w:tcPr>
          <w:p>
            <w:pPr>
              <w:spacing w:after="0"/>
              <w:rPr>
                <w:sz w:val="19"/>
                <w:szCs w:val="19"/>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439,113</w:t>
            </w:r>
          </w:p>
        </w:tc>
        <w:tc>
          <w:tcPr>
            <w:tcW w:w="440" w:type="dxa"/>
            <w:vAlign w:val="bottom"/>
          </w:tcPr>
          <w:p>
            <w:pPr>
              <w:spacing w:after="0"/>
              <w:rPr>
                <w:sz w:val="19"/>
                <w:szCs w:val="19"/>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439,658</w:t>
            </w:r>
          </w:p>
        </w:tc>
        <w:tc>
          <w:tcPr>
            <w:tcW w:w="420" w:type="dxa"/>
            <w:vAlign w:val="bottom"/>
          </w:tcPr>
          <w:p>
            <w:pPr>
              <w:spacing w:after="0"/>
              <w:rPr>
                <w:sz w:val="19"/>
                <w:szCs w:val="19"/>
                <w:color w:val="auto"/>
              </w:rPr>
            </w:pPr>
          </w:p>
        </w:tc>
        <w:tc>
          <w:tcPr>
            <w:tcW w:w="150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rPr>
              <w:t>(545)</w:t>
            </w:r>
          </w:p>
        </w:tc>
        <w:tc>
          <w:tcPr>
            <w:tcW w:w="10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Lease Merchandise Write-Offs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61,788</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31,258</w:t>
            </w:r>
          </w:p>
        </w:tc>
        <w:tc>
          <w:tcPr>
            <w:tcW w:w="4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33"/>
              <w:spacing w:after="0"/>
              <w:rPr>
                <w:sz w:val="20"/>
                <w:szCs w:val="20"/>
                <w:color w:val="auto"/>
              </w:rPr>
            </w:pPr>
            <w:r>
              <w:rPr>
                <w:rFonts w:ascii="Times New Roman" w:cs="Times New Roman" w:eastAsia="Times New Roman" w:hAnsi="Times New Roman"/>
                <w:sz w:val="18"/>
                <w:szCs w:val="18"/>
                <w:color w:val="auto"/>
              </w:rPr>
              <w:t>30,530</w:t>
            </w: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97.7</w:t>
            </w:r>
          </w:p>
        </w:tc>
        <w:tc>
          <w:tcPr>
            <w:tcW w:w="0" w:type="dxa"/>
            <w:vAlign w:val="bottom"/>
          </w:tcPr>
          <w:p>
            <w:pPr>
              <w:spacing w:after="0"/>
              <w:rPr>
                <w:sz w:val="1"/>
                <w:szCs w:val="1"/>
                <w:color w:val="auto"/>
              </w:rPr>
            </w:pPr>
          </w:p>
        </w:tc>
      </w:tr>
      <w:tr>
        <w:trPr>
          <w:trHeight w:val="229"/>
        </w:trPr>
        <w:tc>
          <w:tcPr>
            <w:tcW w:w="53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111,606</w:t>
            </w: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96,745</w:t>
            </w:r>
          </w:p>
        </w:tc>
        <w:tc>
          <w:tcPr>
            <w:tcW w:w="4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8"/>
                <w:szCs w:val="18"/>
                <w:color w:val="auto"/>
              </w:rPr>
              <w:t>14,861</w:t>
            </w:r>
          </w:p>
        </w:tc>
        <w:tc>
          <w:tcPr>
            <w:tcW w:w="10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23"/>
        </w:trPr>
        <w:tc>
          <w:tcPr>
            <w:tcW w:w="5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612,507</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567,661</w:t>
            </w:r>
          </w:p>
        </w:tc>
        <w:tc>
          <w:tcPr>
            <w:tcW w:w="4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33"/>
              <w:spacing w:after="0"/>
              <w:rPr>
                <w:sz w:val="20"/>
                <w:szCs w:val="20"/>
                <w:color w:val="auto"/>
              </w:rPr>
            </w:pPr>
            <w:r>
              <w:rPr>
                <w:rFonts w:ascii="Times New Roman" w:cs="Times New Roman" w:eastAsia="Times New Roman" w:hAnsi="Times New Roman"/>
                <w:sz w:val="18"/>
                <w:szCs w:val="18"/>
                <w:color w:val="auto"/>
              </w:rPr>
              <w:t>44,846</w:t>
            </w: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9"/>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340" w:type="dxa"/>
            <w:vAlign w:val="bottom"/>
          </w:tcPr>
          <w:p>
            <w:pPr>
              <w:spacing w:after="0"/>
              <w:rPr>
                <w:sz w:val="19"/>
                <w:szCs w:val="19"/>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36,937</w:t>
            </w:r>
          </w:p>
        </w:tc>
        <w:tc>
          <w:tcPr>
            <w:tcW w:w="440" w:type="dxa"/>
            <w:vAlign w:val="bottom"/>
          </w:tcPr>
          <w:p>
            <w:pPr>
              <w:spacing w:after="0"/>
              <w:rPr>
                <w:sz w:val="19"/>
                <w:szCs w:val="19"/>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92,310</w:t>
            </w:r>
          </w:p>
        </w:tc>
        <w:tc>
          <w:tcPr>
            <w:tcW w:w="420" w:type="dxa"/>
            <w:vAlign w:val="bottom"/>
          </w:tcPr>
          <w:p>
            <w:pPr>
              <w:spacing w:after="0"/>
              <w:rPr>
                <w:sz w:val="19"/>
                <w:szCs w:val="19"/>
                <w:color w:val="auto"/>
              </w:rPr>
            </w:pPr>
          </w:p>
        </w:tc>
        <w:tc>
          <w:tcPr>
            <w:tcW w:w="150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rPr>
              <w:t>(55,373)</w:t>
            </w:r>
          </w:p>
        </w:tc>
        <w:tc>
          <w:tcPr>
            <w:tcW w:w="10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(9,608)</w:t>
            </w:r>
          </w:p>
        </w:tc>
        <w:tc>
          <w:tcPr>
            <w:tcW w:w="4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4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493"/>
              <w:spacing w:after="0"/>
              <w:rPr>
                <w:sz w:val="20"/>
                <w:szCs w:val="20"/>
                <w:color w:val="auto"/>
              </w:rPr>
            </w:pPr>
            <w:r>
              <w:rPr>
                <w:rFonts w:ascii="Times New Roman" w:cs="Times New Roman" w:eastAsia="Times New Roman" w:hAnsi="Times New Roman"/>
                <w:sz w:val="18"/>
                <w:szCs w:val="18"/>
                <w:color w:val="auto"/>
              </w:rPr>
              <w:t>(9,172)</w:t>
            </w:r>
          </w:p>
        </w:tc>
        <w:tc>
          <w:tcPr>
            <w:tcW w:w="100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2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BEFORE INCOME TAX EXPENSE</w:t>
            </w:r>
          </w:p>
        </w:tc>
        <w:tc>
          <w:tcPr>
            <w:tcW w:w="340" w:type="dxa"/>
            <w:vAlign w:val="bottom"/>
          </w:tcPr>
          <w:p>
            <w:pPr>
              <w:spacing w:after="0"/>
              <w:rPr>
                <w:sz w:val="19"/>
                <w:szCs w:val="19"/>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27,329</w:t>
            </w:r>
          </w:p>
        </w:tc>
        <w:tc>
          <w:tcPr>
            <w:tcW w:w="440" w:type="dxa"/>
            <w:vAlign w:val="bottom"/>
          </w:tcPr>
          <w:p>
            <w:pPr>
              <w:spacing w:after="0"/>
              <w:rPr>
                <w:sz w:val="19"/>
                <w:szCs w:val="19"/>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91,874</w:t>
            </w:r>
          </w:p>
        </w:tc>
        <w:tc>
          <w:tcPr>
            <w:tcW w:w="420" w:type="dxa"/>
            <w:vAlign w:val="bottom"/>
          </w:tcPr>
          <w:p>
            <w:pPr>
              <w:spacing w:after="0"/>
              <w:rPr>
                <w:sz w:val="19"/>
                <w:szCs w:val="19"/>
                <w:color w:val="auto"/>
              </w:rPr>
            </w:pPr>
          </w:p>
        </w:tc>
        <w:tc>
          <w:tcPr>
            <w:tcW w:w="150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rPr>
              <w:t>(64,545)</w:t>
            </w:r>
          </w:p>
        </w:tc>
        <w:tc>
          <w:tcPr>
            <w:tcW w:w="10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(70.3)</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7,845</w:t>
            </w:r>
          </w:p>
        </w:tc>
        <w:tc>
          <w:tcPr>
            <w:tcW w:w="4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23,037</w:t>
            </w:r>
          </w:p>
        </w:tc>
        <w:tc>
          <w:tcPr>
            <w:tcW w:w="4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493"/>
              <w:spacing w:after="0"/>
              <w:rPr>
                <w:sz w:val="20"/>
                <w:szCs w:val="20"/>
                <w:color w:val="auto"/>
              </w:rPr>
            </w:pPr>
            <w:r>
              <w:rPr>
                <w:rFonts w:ascii="Times New Roman" w:cs="Times New Roman" w:eastAsia="Times New Roman" w:hAnsi="Times New Roman"/>
                <w:sz w:val="18"/>
                <w:szCs w:val="18"/>
                <w:color w:val="auto"/>
              </w:rPr>
              <w:t>(15,192)</w:t>
            </w:r>
          </w:p>
        </w:tc>
        <w:tc>
          <w:tcPr>
            <w:tcW w:w="10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(65.9)</w:t>
            </w:r>
          </w:p>
        </w:tc>
        <w:tc>
          <w:tcPr>
            <w:tcW w:w="0" w:type="dxa"/>
            <w:vAlign w:val="bottom"/>
          </w:tcPr>
          <w:p>
            <w:pPr>
              <w:spacing w:after="0"/>
              <w:rPr>
                <w:sz w:val="1"/>
                <w:szCs w:val="1"/>
                <w:color w:val="auto"/>
              </w:rPr>
            </w:pPr>
          </w:p>
        </w:tc>
      </w:tr>
      <w:tr>
        <w:trPr>
          <w:trHeight w:val="22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19,484</w:t>
            </w:r>
          </w:p>
        </w:tc>
        <w:tc>
          <w:tcPr>
            <w:tcW w:w="4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68,837</w:t>
            </w:r>
          </w:p>
        </w:tc>
        <w:tc>
          <w:tcPr>
            <w:tcW w:w="4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8"/>
                <w:szCs w:val="18"/>
                <w:color w:val="auto"/>
              </w:rPr>
              <w:t>(49,353)</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0" w:type="dxa"/>
            <w:vAlign w:val="bottom"/>
          </w:tcPr>
          <w:p>
            <w:pPr>
              <w:spacing w:after="0"/>
              <w:rPr>
                <w:sz w:val="1"/>
                <w:szCs w:val="1"/>
                <w:color w:val="auto"/>
              </w:rPr>
            </w:pPr>
          </w:p>
        </w:tc>
      </w:tr>
      <w:tr>
        <w:trPr>
          <w:trHeight w:val="21"/>
        </w:trPr>
        <w:tc>
          <w:tcPr>
            <w:tcW w:w="5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nmf—Calculation is not meaningful</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about our revenues by source and reportable segment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June 30, 2022</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June 30, 2021</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1"/>
                <w:szCs w:val="11"/>
                <w:color w:val="auto"/>
              </w:rPr>
            </w:pPr>
          </w:p>
        </w:tc>
        <w:tc>
          <w:tcPr>
            <w:tcW w:w="900" w:type="dxa"/>
            <w:vAlign w:val="bottom"/>
          </w:tcPr>
          <w:p>
            <w:pPr>
              <w:jc w:val="right"/>
              <w:ind w:right="77"/>
              <w:spacing w:after="0" w:line="129" w:lineRule="exact"/>
              <w:rPr>
                <w:sz w:val="20"/>
                <w:szCs w:val="20"/>
                <w:color w:val="auto"/>
              </w:rPr>
            </w:pPr>
            <w:r>
              <w:rPr>
                <w:rFonts w:ascii="Times New Roman" w:cs="Times New Roman" w:eastAsia="Times New Roman" w:hAnsi="Times New Roman"/>
                <w:sz w:val="14"/>
                <w:szCs w:val="14"/>
                <w:b w:val="1"/>
                <w:bCs w:val="1"/>
                <w:color w:val="auto"/>
              </w:rPr>
              <w:t>Progressive</w:t>
            </w:r>
          </w:p>
        </w:tc>
        <w:tc>
          <w:tcPr>
            <w:tcW w:w="300" w:type="dxa"/>
            <w:vAlign w:val="bottom"/>
          </w:tcPr>
          <w:p>
            <w:pPr>
              <w:spacing w:after="0"/>
              <w:rPr>
                <w:sz w:val="11"/>
                <w:szCs w:val="11"/>
                <w:color w:val="auto"/>
              </w:rPr>
            </w:pPr>
          </w:p>
        </w:tc>
        <w:tc>
          <w:tcPr>
            <w:tcW w:w="1060" w:type="dxa"/>
            <w:vAlign w:val="bottom"/>
            <w:vMerge w:val="restart"/>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Vive</w:t>
            </w:r>
          </w:p>
        </w:tc>
        <w:tc>
          <w:tcPr>
            <w:tcW w:w="860" w:type="dxa"/>
            <w:vAlign w:val="bottom"/>
            <w:vMerge w:val="restart"/>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1"/>
                <w:szCs w:val="11"/>
                <w:color w:val="auto"/>
              </w:rPr>
            </w:pPr>
          </w:p>
        </w:tc>
        <w:tc>
          <w:tcPr>
            <w:tcW w:w="820" w:type="dxa"/>
            <w:vAlign w:val="bottom"/>
            <w:vMerge w:val="restart"/>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1"/>
                <w:szCs w:val="11"/>
                <w:color w:val="auto"/>
              </w:rPr>
            </w:pPr>
          </w:p>
        </w:tc>
        <w:tc>
          <w:tcPr>
            <w:tcW w:w="900" w:type="dxa"/>
            <w:vAlign w:val="bottom"/>
          </w:tcPr>
          <w:p>
            <w:pPr>
              <w:jc w:val="right"/>
              <w:ind w:right="77"/>
              <w:spacing w:after="0" w:line="129" w:lineRule="exact"/>
              <w:rPr>
                <w:sz w:val="20"/>
                <w:szCs w:val="20"/>
                <w:color w:val="auto"/>
              </w:rPr>
            </w:pPr>
            <w:r>
              <w:rPr>
                <w:rFonts w:ascii="Times New Roman" w:cs="Times New Roman" w:eastAsia="Times New Roman" w:hAnsi="Times New Roman"/>
                <w:sz w:val="14"/>
                <w:szCs w:val="14"/>
                <w:b w:val="1"/>
                <w:bCs w:val="1"/>
                <w:color w:val="auto"/>
              </w:rPr>
              <w:t>Progressive</w:t>
            </w:r>
          </w:p>
        </w:tc>
        <w:tc>
          <w:tcPr>
            <w:tcW w:w="300" w:type="dxa"/>
            <w:vAlign w:val="bottom"/>
          </w:tcPr>
          <w:p>
            <w:pPr>
              <w:spacing w:after="0"/>
              <w:rPr>
                <w:sz w:val="11"/>
                <w:szCs w:val="11"/>
                <w:color w:val="auto"/>
              </w:rPr>
            </w:pPr>
          </w:p>
        </w:tc>
        <w:tc>
          <w:tcPr>
            <w:tcW w:w="1060" w:type="dxa"/>
            <w:vAlign w:val="bottom"/>
            <w:vMerge w:val="restart"/>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Vive</w:t>
            </w:r>
          </w:p>
        </w:tc>
        <w:tc>
          <w:tcPr>
            <w:tcW w:w="11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4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50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Leasing</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Leasing</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Revenues and Fees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631,344</w:t>
            </w:r>
          </w:p>
        </w:tc>
        <w:tc>
          <w:tcPr>
            <w:tcW w:w="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631,344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646,048</w:t>
            </w:r>
          </w:p>
        </w:tc>
        <w:tc>
          <w:tcPr>
            <w:tcW w:w="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646,048</w:t>
            </w:r>
          </w:p>
        </w:tc>
        <w:tc>
          <w:tcPr>
            <w:tcW w:w="0" w:type="dxa"/>
            <w:vAlign w:val="bottom"/>
          </w:tcPr>
          <w:p>
            <w:pPr>
              <w:spacing w:after="0"/>
              <w:rPr>
                <w:sz w:val="1"/>
                <w:szCs w:val="1"/>
                <w:color w:val="auto"/>
              </w:rPr>
            </w:pPr>
          </w:p>
        </w:tc>
      </w:tr>
      <w:tr>
        <w:trPr>
          <w:trHeight w:val="175"/>
        </w:trPr>
        <w:tc>
          <w:tcPr>
            <w:tcW w:w="25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Interest and Fees on Loans</w:t>
            </w: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Receivable</w:t>
            </w: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color w:val="auto"/>
              </w:rPr>
              <w:t>17,518</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18,100</w:t>
            </w: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color w:val="auto"/>
              </w:rPr>
              <w:t>13,923</w:t>
            </w:r>
          </w:p>
        </w:tc>
        <w:tc>
          <w:tcPr>
            <w:tcW w:w="112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13,923</w:t>
            </w:r>
          </w:p>
        </w:tc>
        <w:tc>
          <w:tcPr>
            <w:tcW w:w="0" w:type="dxa"/>
            <w:vAlign w:val="bottom"/>
          </w:tcPr>
          <w:p>
            <w:pPr>
              <w:spacing w:after="0"/>
              <w:rPr>
                <w:sz w:val="1"/>
                <w:szCs w:val="1"/>
                <w:color w:val="auto"/>
              </w:rPr>
            </w:pPr>
          </w:p>
        </w:tc>
      </w:tr>
      <w:tr>
        <w:trPr>
          <w:trHeight w:val="248"/>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631,344</w:t>
            </w:r>
          </w:p>
        </w:tc>
        <w:tc>
          <w:tcPr>
            <w:tcW w:w="30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17,518 $</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649,444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646,048</w:t>
            </w:r>
          </w:p>
        </w:tc>
        <w:tc>
          <w:tcPr>
            <w:tcW w:w="30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13,923 $</w:t>
            </w:r>
          </w:p>
        </w:tc>
        <w:tc>
          <w:tcPr>
            <w:tcW w:w="112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659,971</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decrease in Progressive Leasing revenues was primarily due to an increase in customer payment delinquencies and uncollectible renewal payments, as compared to the strong customer payment activity and low delinquencies it experienced during the second quarter of 2021. The provision for uncollectible renewal payments, which is recorded as a reduction to lease revenues and fees, was $97.0 million in the second quarter of 2022 compared to $39.8 million in the second quarter of 2021. Lease revenues and fees were also lower as a result of fewer customers electing to exercise early lease buyouts in the second quarter of 2022, as compared to the second quarter of 2021, and a 2.4% decrease in GMV. These declines were partially offset by growth in the lease portfolio and an increase in GMV generated through e-commerce platforms, which represented 15.6% of total Progressive Leasing GMV in the second quarter of 2022, compared to 13.0% in the second quarter of 2021. The increase in Vive revenues was primarily due to higher loans receivable driven by strong GMV growth in 2021.</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0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Information about certain significant components of operating expenses for the second quarter of 2022 as compared to the second quarter of 2021 is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20" w:type="dxa"/>
            <w:vAlign w:val="bottom"/>
            <w:gridSpan w:val="3"/>
          </w:tcPr>
          <w:p>
            <w:pPr>
              <w:jc w:val="right"/>
              <w:ind w:right="77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3"/>
                <w:szCs w:val="13"/>
                <w:color w:val="auto"/>
              </w:rPr>
            </w:pPr>
          </w:p>
        </w:tc>
        <w:tc>
          <w:tcPr>
            <w:tcW w:w="150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3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092"/>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Personnel Costs</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49,282</w:t>
            </w:r>
          </w:p>
        </w:tc>
        <w:tc>
          <w:tcPr>
            <w:tcW w:w="4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45,844</w:t>
            </w:r>
          </w:p>
        </w:tc>
        <w:tc>
          <w:tcPr>
            <w:tcW w:w="4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rPr>
              <w:t>3,438</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0" w:type="dxa"/>
            <w:vAlign w:val="bottom"/>
          </w:tcPr>
          <w:p>
            <w:pPr>
              <w:spacing w:after="0"/>
              <w:rPr>
                <w:sz w:val="1"/>
                <w:szCs w:val="1"/>
                <w:color w:val="auto"/>
              </w:rPr>
            </w:pPr>
          </w:p>
        </w:tc>
      </w:tr>
      <w:tr>
        <w:trPr>
          <w:trHeight w:val="229"/>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Pr>
          <w:p>
            <w:pPr>
              <w:spacing w:after="0"/>
              <w:rPr>
                <w:sz w:val="19"/>
                <w:szCs w:val="19"/>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2,417</w:t>
            </w:r>
          </w:p>
        </w:tc>
        <w:tc>
          <w:tcPr>
            <w:tcW w:w="46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3,973</w:t>
            </w:r>
          </w:p>
        </w:tc>
        <w:tc>
          <w:tcPr>
            <w:tcW w:w="440" w:type="dxa"/>
            <w:vAlign w:val="bottom"/>
          </w:tcPr>
          <w:p>
            <w:pPr>
              <w:spacing w:after="0"/>
              <w:rPr>
                <w:sz w:val="19"/>
                <w:szCs w:val="19"/>
                <w:color w:val="auto"/>
              </w:rPr>
            </w:pPr>
          </w:p>
        </w:tc>
        <w:tc>
          <w:tcPr>
            <w:tcW w:w="150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(1,556)</w:t>
            </w:r>
          </w:p>
        </w:tc>
        <w:tc>
          <w:tcPr>
            <w:tcW w:w="10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Occupancy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1,740</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1,432</w:t>
            </w: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rPr>
              <w:t>308</w:t>
            </w: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29"/>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w:t>
            </w:r>
          </w:p>
        </w:tc>
        <w:tc>
          <w:tcPr>
            <w:tcW w:w="340" w:type="dxa"/>
            <w:vAlign w:val="bottom"/>
          </w:tcPr>
          <w:p>
            <w:pPr>
              <w:spacing w:after="0"/>
              <w:rPr>
                <w:sz w:val="19"/>
                <w:szCs w:val="19"/>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3,543</w:t>
            </w:r>
          </w:p>
        </w:tc>
        <w:tc>
          <w:tcPr>
            <w:tcW w:w="46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4,728</w:t>
            </w:r>
          </w:p>
        </w:tc>
        <w:tc>
          <w:tcPr>
            <w:tcW w:w="440" w:type="dxa"/>
            <w:vAlign w:val="bottom"/>
          </w:tcPr>
          <w:p>
            <w:pPr>
              <w:spacing w:after="0"/>
              <w:rPr>
                <w:sz w:val="19"/>
                <w:szCs w:val="19"/>
                <w:color w:val="auto"/>
              </w:rPr>
            </w:pPr>
          </w:p>
        </w:tc>
        <w:tc>
          <w:tcPr>
            <w:tcW w:w="150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(1,185)</w:t>
            </w:r>
          </w:p>
        </w:tc>
        <w:tc>
          <w:tcPr>
            <w:tcW w:w="10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6,343</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7,115</w:t>
            </w: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rPr>
              <w:t>(772)</w:t>
            </w:r>
          </w:p>
        </w:tc>
        <w:tc>
          <w:tcPr>
            <w:tcW w:w="10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29"/>
        </w:trPr>
        <w:tc>
          <w:tcPr>
            <w:tcW w:w="53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Sales Acquisition Expense</w:t>
            </w:r>
            <w:r>
              <w:rPr>
                <w:rFonts w:ascii="Times New Roman" w:cs="Times New Roman" w:eastAsia="Times New Roman" w:hAnsi="Times New Roman"/>
                <w:sz w:val="23"/>
                <w:szCs w:val="23"/>
                <w:color w:val="auto"/>
                <w:vertAlign w:val="superscript"/>
              </w:rPr>
              <w:t>2</w:t>
            </w:r>
          </w:p>
        </w:tc>
        <w:tc>
          <w:tcPr>
            <w:tcW w:w="340" w:type="dxa"/>
            <w:vAlign w:val="bottom"/>
          </w:tcPr>
          <w:p>
            <w:pPr>
              <w:spacing w:after="0"/>
              <w:rPr>
                <w:sz w:val="19"/>
                <w:szCs w:val="19"/>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7,495</w:t>
            </w:r>
          </w:p>
        </w:tc>
        <w:tc>
          <w:tcPr>
            <w:tcW w:w="46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5,600</w:t>
            </w:r>
          </w:p>
        </w:tc>
        <w:tc>
          <w:tcPr>
            <w:tcW w:w="440" w:type="dxa"/>
            <w:vAlign w:val="bottom"/>
          </w:tcPr>
          <w:p>
            <w:pPr>
              <w:spacing w:after="0"/>
              <w:rPr>
                <w:sz w:val="19"/>
                <w:szCs w:val="19"/>
                <w:color w:val="auto"/>
              </w:rPr>
            </w:pPr>
          </w:p>
        </w:tc>
        <w:tc>
          <w:tcPr>
            <w:tcW w:w="150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1,895</w:t>
            </w: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Computer Software Expense</w:t>
            </w:r>
            <w:r>
              <w:rPr>
                <w:rFonts w:ascii="Times New Roman" w:cs="Times New Roman" w:eastAsia="Times New Roman" w:hAnsi="Times New Roman"/>
                <w:sz w:val="23"/>
                <w:szCs w:val="23"/>
                <w:color w:val="auto"/>
                <w:vertAlign w:val="superscript"/>
              </w:rPr>
              <w:t>3</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6,522</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4,684</w:t>
            </w: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rPr>
              <w:t>1,838</w:t>
            </w: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30"/>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Sales, General and Administrative Expense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12,619</w:t>
            </w: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10,948</w:t>
            </w:r>
          </w:p>
        </w:tc>
        <w:tc>
          <w:tcPr>
            <w:tcW w:w="4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color w:val="auto"/>
              </w:rPr>
              <w:t>1,671</w:t>
            </w:r>
          </w:p>
        </w:tc>
        <w:tc>
          <w:tcPr>
            <w:tcW w:w="10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23"/>
        </w:trPr>
        <w:tc>
          <w:tcPr>
            <w:tcW w:w="5340" w:type="dxa"/>
            <w:vAlign w:val="bottom"/>
            <w:shd w:val="clear" w:color="auto" w:fill="CCEEFF"/>
          </w:tcPr>
          <w:p>
            <w:pPr>
              <w:ind w:left="180"/>
              <w:spacing w:after="0" w:line="223" w:lineRule="exact"/>
              <w:rPr>
                <w:sz w:val="20"/>
                <w:szCs w:val="20"/>
                <w:color w:val="auto"/>
              </w:rPr>
            </w:pPr>
            <w:r>
              <w:rPr>
                <w:rFonts w:ascii="Times New Roman" w:cs="Times New Roman" w:eastAsia="Times New Roman" w:hAnsi="Times New Roman"/>
                <w:sz w:val="18"/>
                <w:szCs w:val="18"/>
                <w:b w:val="1"/>
                <w:bCs w:val="1"/>
                <w:color w:val="auto"/>
              </w:rPr>
              <w:t>Sales, General and Administrative Expense</w:t>
            </w:r>
            <w:r>
              <w:rPr>
                <w:rFonts w:ascii="Times New Roman" w:cs="Times New Roman" w:eastAsia="Times New Roman" w:hAnsi="Times New Roman"/>
                <w:sz w:val="23"/>
                <w:szCs w:val="23"/>
                <w:color w:val="auto"/>
                <w:vertAlign w:val="superscript"/>
              </w:rPr>
              <w:t>4</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89,961</w:t>
            </w: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84,324</w:t>
            </w:r>
          </w:p>
        </w:tc>
        <w:tc>
          <w:tcPr>
            <w:tcW w:w="4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rPr>
              <w:t>5,637</w:t>
            </w:r>
          </w:p>
        </w:tc>
        <w:tc>
          <w:tcPr>
            <w:tcW w:w="10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2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340" w:type="dxa"/>
            <w:vAlign w:val="bottom"/>
          </w:tcPr>
          <w:p>
            <w:pPr>
              <w:spacing w:after="0"/>
              <w:rPr>
                <w:sz w:val="19"/>
                <w:szCs w:val="19"/>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8,778</w:t>
            </w:r>
          </w:p>
        </w:tc>
        <w:tc>
          <w:tcPr>
            <w:tcW w:w="46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4,388</w:t>
            </w:r>
          </w:p>
        </w:tc>
        <w:tc>
          <w:tcPr>
            <w:tcW w:w="440" w:type="dxa"/>
            <w:vAlign w:val="bottom"/>
          </w:tcPr>
          <w:p>
            <w:pPr>
              <w:spacing w:after="0"/>
              <w:rPr>
                <w:sz w:val="19"/>
                <w:szCs w:val="19"/>
                <w:color w:val="auto"/>
              </w:rPr>
            </w:pPr>
          </w:p>
        </w:tc>
        <w:tc>
          <w:tcPr>
            <w:tcW w:w="150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4,390</w:t>
            </w: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8,539</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8,033</w:t>
            </w: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rPr>
              <w:t>506</w:t>
            </w: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30"/>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Restructuring Expense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4,328</w:t>
            </w: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color w:val="auto"/>
              </w:rPr>
              <w:t>4,328</w:t>
            </w:r>
          </w:p>
        </w:tc>
        <w:tc>
          <w:tcPr>
            <w:tcW w:w="10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48"/>
        </w:trPr>
        <w:tc>
          <w:tcPr>
            <w:tcW w:w="5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111,606</w:t>
            </w:r>
          </w:p>
        </w:tc>
        <w:tc>
          <w:tcPr>
            <w:tcW w:w="4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96,745</w:t>
            </w:r>
          </w:p>
        </w:tc>
        <w:tc>
          <w:tcPr>
            <w:tcW w:w="4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rPr>
              <w:t>14,861</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15.4 %</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ind w:left="80" w:hanging="72"/>
        <w:spacing w:after="0"/>
        <w:tabs>
          <w:tab w:leader="none" w:pos="80" w:val="left"/>
        </w:tabs>
        <w:numPr>
          <w:ilvl w:val="0"/>
          <w:numId w:val="1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Personnel costs excludes stock-based compensation expense, which is reported separately in the operating expense table.</w:t>
      </w:r>
    </w:p>
    <w:p>
      <w:pPr>
        <w:spacing w:after="0" w:line="69" w:lineRule="exact"/>
        <w:rPr>
          <w:sz w:val="20"/>
          <w:szCs w:val="20"/>
          <w:color w:val="auto"/>
        </w:rPr>
      </w:pPr>
    </w:p>
    <w:p>
      <w:pPr>
        <w:ind w:right="60" w:firstLine="8"/>
        <w:spacing w:after="0" w:line="237" w:lineRule="auto"/>
        <w:tabs>
          <w:tab w:leader="none" w:pos="70" w:val="left"/>
        </w:tabs>
        <w:numPr>
          <w:ilvl w:val="0"/>
          <w:numId w:val="1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Sales acquisition expense includes vendor incentives and rebates to POS partners, external sales commissions, amortization of initial direct costs and amounts paid to various POS partners to be their exclusive provider of lease-to-own solutions.</w:t>
      </w:r>
    </w:p>
    <w:p>
      <w:pPr>
        <w:spacing w:after="0" w:line="11" w:lineRule="exact"/>
        <w:rPr>
          <w:sz w:val="20"/>
          <w:szCs w:val="20"/>
          <w:color w:val="auto"/>
        </w:rPr>
      </w:pPr>
    </w:p>
    <w:p>
      <w:pPr>
        <w:ind w:left="80" w:hanging="72"/>
        <w:spacing w:after="0"/>
        <w:tabs>
          <w:tab w:leader="none" w:pos="80"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Computer software expense consists primarily of software subscription fees, licensing fees and non-capitalizable software implementation costs.</w:t>
      </w:r>
    </w:p>
    <w:p>
      <w:pPr>
        <w:spacing w:after="0" w:line="11" w:lineRule="exact"/>
        <w:rPr>
          <w:sz w:val="20"/>
          <w:szCs w:val="20"/>
          <w:color w:val="auto"/>
        </w:rPr>
      </w:pPr>
    </w:p>
    <w:p>
      <w:pPr>
        <w:ind w:left="80" w:hanging="72"/>
        <w:spacing w:after="0"/>
        <w:tabs>
          <w:tab w:leader="none" w:pos="80"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Progressive Leasing's sales, general and administrative expense was $81.9 million and $79.5 million during the three months ended June 30, 2022 and 2021, respectively.</w:t>
      </w:r>
    </w:p>
    <w:p>
      <w:pPr>
        <w:spacing w:after="0" w:line="73" w:lineRule="exact"/>
        <w:rPr>
          <w:sz w:val="20"/>
          <w:szCs w:val="20"/>
          <w:color w:val="auto"/>
        </w:rPr>
      </w:pPr>
    </w:p>
    <w:p>
      <w:pPr>
        <w:ind w:right="260"/>
        <w:spacing w:after="0" w:line="289" w:lineRule="auto"/>
        <w:rPr>
          <w:sz w:val="20"/>
          <w:szCs w:val="20"/>
          <w:color w:val="auto"/>
        </w:rPr>
      </w:pPr>
      <w:r>
        <w:rPr>
          <w:rFonts w:ascii="Times New Roman" w:cs="Times New Roman" w:eastAsia="Times New Roman" w:hAnsi="Times New Roman"/>
          <w:sz w:val="17"/>
          <w:szCs w:val="17"/>
          <w:color w:val="auto"/>
        </w:rPr>
        <w:t>The increase in personnel costs of $3.4 million was driven by an increase of $1.5 million and $0.5 million at Progressive Leasing and Vive, respectively, resulting from wage increases and promotions, partially offset by a reduction in short-term incentive expense at Progressive Leasing. An additional $1.4 million in personnel costs was attributable to the acquisition and growth of Four, and other strategic initiatives started by the Company in 2021.</w:t>
      </w:r>
    </w:p>
    <w:p>
      <w:pPr>
        <w:spacing w:after="0" w:line="3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Stock-based compensation decreased $1.6 million due to a tranche of 2021 performance units that were determined to no longer be probable of achievement being forfeited in the second quarter of 2022, a reduction of the estimated payout of performance units granted in 2022, and other stock-based compensation forfeitures in the second quarter of 2022 related to the Company's restructuring program initiated during the period. These decreases were partially offset by an increased number of awards granted to personnel hired to support the Company's growth and new business initiatives.</w:t>
      </w:r>
    </w:p>
    <w:p>
      <w:pPr>
        <w:spacing w:after="0" w:line="45" w:lineRule="exact"/>
        <w:rPr>
          <w:sz w:val="20"/>
          <w:szCs w:val="20"/>
          <w:color w:val="auto"/>
        </w:rPr>
      </w:pPr>
    </w:p>
    <w:p>
      <w:pPr>
        <w:jc w:val="both"/>
        <w:ind w:right="340"/>
        <w:spacing w:after="0" w:line="282" w:lineRule="auto"/>
        <w:rPr>
          <w:sz w:val="20"/>
          <w:szCs w:val="20"/>
          <w:color w:val="auto"/>
        </w:rPr>
      </w:pPr>
      <w:r>
        <w:rPr>
          <w:rFonts w:ascii="Times New Roman" w:cs="Times New Roman" w:eastAsia="Times New Roman" w:hAnsi="Times New Roman"/>
          <w:sz w:val="18"/>
          <w:szCs w:val="18"/>
          <w:color w:val="auto"/>
        </w:rPr>
        <w:t>Sales acquisition expense increased $1.9 million compared to the prior year quarter primarily due to increased incentives, sales commissions, and other expenses at Progressive Leasing to promote lease originations with its POS partners.</w:t>
      </w:r>
    </w:p>
    <w:p>
      <w:pPr>
        <w:spacing w:after="0" w:line="40"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242424"/>
        </w:rPr>
        <w:t xml:space="preserve">Computer software expense increased $1.8 million compared to the prior year quarter primarily due to an increase in non-capitalizable software project costs at Progressive Leasing, new strategic initiatives started by the Company in </w:t>
      </w:r>
      <w:r>
        <w:rPr>
          <w:rFonts w:ascii="Times New Roman" w:cs="Times New Roman" w:eastAsia="Times New Roman" w:hAnsi="Times New Roman"/>
          <w:sz w:val="18"/>
          <w:szCs w:val="18"/>
          <w:color w:val="000000"/>
        </w:rPr>
        <w:t>2021 that continued incurring costs in the second quarter of 2022,</w:t>
      </w:r>
      <w:r>
        <w:rPr>
          <w:rFonts w:ascii="Times New Roman" w:cs="Times New Roman" w:eastAsia="Times New Roman" w:hAnsi="Times New Roman"/>
          <w:sz w:val="18"/>
          <w:szCs w:val="18"/>
          <w:color w:val="242424"/>
        </w:rPr>
        <w:t xml:space="preserve"> and increased software licensing costs.</w:t>
      </w:r>
    </w:p>
    <w:p>
      <w:pPr>
        <w:spacing w:after="0" w:line="5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242424"/>
        </w:rPr>
        <w:t xml:space="preserve">The provision for loan losses increased $4.4 million compared to the prior year quarter due to the unfavorable economic conditions present in the second quarter of </w:t>
      </w:r>
      <w:r>
        <w:rPr>
          <w:rFonts w:ascii="Times New Roman" w:cs="Times New Roman" w:eastAsia="Times New Roman" w:hAnsi="Times New Roman"/>
          <w:sz w:val="18"/>
          <w:szCs w:val="18"/>
          <w:color w:val="000000"/>
        </w:rPr>
        <w:t>2022, including a rapid increase in inflation and the absence of government stimulus payments and enhanced unemployment benefits and child</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 xml:space="preserve">tax credits, as compared to the second quarter of 2021, resulting in Vive's delinquencies returning to pre-pandemic levels, and also due to an increase in the Company's overall loan portfolio resulting from growth in GMV at Vive in 2021 and the acquisition of Four in June 2021. </w:t>
      </w:r>
      <w:r>
        <w:rPr>
          <w:rFonts w:ascii="Times New Roman" w:cs="Times New Roman" w:eastAsia="Times New Roman" w:hAnsi="Times New Roman"/>
          <w:sz w:val="18"/>
          <w:szCs w:val="18"/>
          <w:color w:val="242424"/>
        </w:rPr>
        <w:t>The provision for loan losses as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42424"/>
        </w:rPr>
        <w:t>a percentage of interest and fees revenue increased to 48.5% in the second quarter of 2022 compared to 31.5% in the same period in 2021 due to delinquencies at Vive returning to pre-pandemic levels and higher write-offs within our Four operations.</w:t>
      </w:r>
    </w:p>
    <w:p>
      <w:pPr>
        <w:spacing w:after="0" w:line="5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242424"/>
        </w:rPr>
        <w:t xml:space="preserve">Restructuring expense of $4.3 million </w:t>
      </w:r>
      <w:r>
        <w:rPr>
          <w:rFonts w:ascii="Times New Roman" w:cs="Times New Roman" w:eastAsia="Times New Roman" w:hAnsi="Times New Roman"/>
          <w:sz w:val="18"/>
          <w:szCs w:val="18"/>
          <w:color w:val="000000"/>
        </w:rPr>
        <w:t>is the result of a number of restructuring activities initiated by the Company</w:t>
      </w:r>
      <w:r>
        <w:rPr>
          <w:rFonts w:ascii="Times New Roman" w:cs="Times New Roman" w:eastAsia="Times New Roman" w:hAnsi="Times New Roman"/>
          <w:sz w:val="18"/>
          <w:szCs w:val="18"/>
          <w:color w:val="242424"/>
        </w:rPr>
        <w:t xml:space="preserve"> in the second quarter of </w:t>
      </w:r>
      <w:r>
        <w:rPr>
          <w:rFonts w:ascii="Times New Roman" w:cs="Times New Roman" w:eastAsia="Times New Roman" w:hAnsi="Times New Roman"/>
          <w:sz w:val="18"/>
          <w:szCs w:val="18"/>
          <w:color w:val="000000"/>
        </w:rPr>
        <w:t>2022 intended</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 xml:space="preserve">to reduce expenses, consolidate certain segment corporate headquarters, and align the cost structure of the business with our near-term revenue outlook. </w:t>
      </w:r>
      <w:r>
        <w:rPr>
          <w:rFonts w:ascii="Times New Roman" w:cs="Times New Roman" w:eastAsia="Times New Roman" w:hAnsi="Times New Roman"/>
          <w:sz w:val="18"/>
          <w:szCs w:val="18"/>
          <w:color w:val="242424"/>
        </w:rPr>
        <w:t xml:space="preserve">The restructuring expense was </w:t>
      </w:r>
      <w:r>
        <w:rPr>
          <w:rFonts w:ascii="Times New Roman" w:cs="Times New Roman" w:eastAsia="Times New Roman" w:hAnsi="Times New Roman"/>
          <w:sz w:val="18"/>
          <w:szCs w:val="18"/>
          <w:color w:val="000000"/>
        </w:rPr>
        <w:t>primarily comprised of severance costs associated with a reduction in Progressive Leasing's workforce and operating lease</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right-of-use asset impairment charges related to the relocation of the Vive corporate headquarters to the Company's corporate office building.</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Costs and Expenses</w:t>
      </w:r>
    </w:p>
    <w:p>
      <w:pPr>
        <w:spacing w:after="0" w:line="106" w:lineRule="exact"/>
        <w:rPr>
          <w:sz w:val="20"/>
          <w:szCs w:val="20"/>
          <w:color w:val="auto"/>
        </w:rPr>
      </w:pPr>
    </w:p>
    <w:p>
      <w:pPr>
        <w:ind w:right="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Depreciation of lease merchandise. </w:t>
      </w:r>
      <w:r>
        <w:rPr>
          <w:rFonts w:ascii="Times New Roman" w:cs="Times New Roman" w:eastAsia="Times New Roman" w:hAnsi="Times New Roman"/>
          <w:sz w:val="18"/>
          <w:szCs w:val="18"/>
          <w:color w:val="auto"/>
        </w:rPr>
        <w:t>Depreciation of lease merchandise remained relatively flat, decreasing by 0.1% compared to the second quarter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As a percentage of total lease revenues and fees, depreciation of lease merchandise increased to 69.6% from 68.1% in the prior year quarter, primarily due to an increase in uncollectible renewal payments, which is recorded as a reduction to lease revenues and fees.</w:t>
      </w:r>
    </w:p>
    <w:p>
      <w:pPr>
        <w:spacing w:after="0" w:line="3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i w:val="1"/>
          <w:iCs w:val="1"/>
          <w:color w:val="auto"/>
        </w:rPr>
        <w:t>Provision for lease merchandise write-offs</w:t>
      </w:r>
      <w:r>
        <w:rPr>
          <w:rFonts w:ascii="Times New Roman" w:cs="Times New Roman" w:eastAsia="Times New Roman" w:hAnsi="Times New Roman"/>
          <w:sz w:val="18"/>
          <w:szCs w:val="18"/>
          <w:color w:val="auto"/>
        </w:rPr>
        <w:t>. The provision for lease merchandise write-offs increased $30.5 million due to higher customer payment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delinquencies and write-offs in the second quarter of 2022, compared to the strong customer payment activity and lower lease merchandise write-offs Progressive Leasing experienced during the second quarter of 2021. Given the significant economic uncertainty resulting from the rate of the increase in inflation in recent months to levels not seen in more than forty years; the absence of government stimulus payments and enhanced unemployment benefits and child tax credits in 2022, which we believe benefited many of our customers in the first half of 2021, the ongoing impacts of the COVID-19 pandemic, and the potential effects of such developments on Progressive Leasing's POS partners, customers, and business going forward, a high level of estimation was involved in determining the allowance as of June 30, 2022. Actual lease merchandise write-offs could differ materially from the allowance for those write-offs.</w:t>
      </w:r>
    </w:p>
    <w:p>
      <w:pPr>
        <w:spacing w:after="0" w:line="6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provision for lease merchandise write-offs as a percentage of lease revenues increased to 9.8% in the second quarter of 2022 from 4.8% in the same period in 2021, as a result of higher customer payment delinquencies and write-offs in 2022 as compared to the strong customer payment activity and low lease merchandise write-offs we experienced in 2021.</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Before Income Tax Expense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about our earnings before income tax expense by reportable segment is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0" w:type="dxa"/>
            <w:vAlign w:val="bottom"/>
            <w:gridSpan w:val="3"/>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3"/>
                <w:szCs w:val="13"/>
                <w:color w:val="auto"/>
              </w:rPr>
            </w:pPr>
          </w:p>
        </w:tc>
        <w:tc>
          <w:tcPr>
            <w:tcW w:w="1520" w:type="dxa"/>
            <w:vAlign w:val="bottom"/>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3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1096"/>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BEFORE INCOME TAX EXPENSE: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Progressive Leasing</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27,383</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87,521</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516"/>
              <w:spacing w:after="0"/>
              <w:rPr>
                <w:sz w:val="20"/>
                <w:szCs w:val="20"/>
                <w:color w:val="auto"/>
              </w:rPr>
            </w:pPr>
            <w:r>
              <w:rPr>
                <w:rFonts w:ascii="Times New Roman" w:cs="Times New Roman" w:eastAsia="Times New Roman" w:hAnsi="Times New Roman"/>
                <w:sz w:val="18"/>
                <w:szCs w:val="18"/>
                <w:color w:val="auto"/>
              </w:rPr>
              <w:t>(60,138)</w:t>
            </w:r>
          </w:p>
        </w:tc>
        <w:tc>
          <w:tcPr>
            <w:tcW w:w="100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(68.7)%</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Vive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3,355</w:t>
            </w: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4,353</w:t>
            </w:r>
          </w:p>
        </w:tc>
        <w:tc>
          <w:tcPr>
            <w:tcW w:w="44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color w:val="auto"/>
              </w:rPr>
              <w:t>(998)</w:t>
            </w:r>
          </w:p>
        </w:tc>
        <w:tc>
          <w:tcPr>
            <w:tcW w:w="10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30"/>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(3,409)</w:t>
            </w: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8"/>
                <w:szCs w:val="18"/>
                <w:color w:val="auto"/>
              </w:rPr>
              <w:t>(3,409)</w:t>
            </w:r>
          </w:p>
        </w:tc>
        <w:tc>
          <w:tcPr>
            <w:tcW w:w="10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48"/>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Earnings Before Income Tax Expense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27,329</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91,874</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color w:val="auto"/>
              </w:rPr>
              <w:t>(64,545)</w:t>
            </w:r>
          </w:p>
        </w:tc>
        <w:tc>
          <w:tcPr>
            <w:tcW w:w="100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9"/>
              </w:rPr>
              <w:t>(70.3)%</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nmf—Calculation is not meaningful</w:t>
      </w:r>
    </w:p>
    <w:p>
      <w:pPr>
        <w:spacing w:after="0" w:line="11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$3.4 million loss before income tax expense within "Other" primarily relates to our Four operations. Factors impacting the change in earnings before income taxes include a $14.7 million reduction in Lease Revenue and Fees, a $30.5 million increase in the provision for lease merchandise write-offs, a $14.9 million increase in operating expense, and a $9.2 million increase in interest expense, all as compared to the first quarter of 2021.</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9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Income tax expense decreased to $7.8 million for the three months ended June 30, 2022 compared to $23.0 million in the prior year comparable period due to lower earnings before income taxes. The effective income tax rate for the three months ended June 30, 2022 was 28.7% compared to 25.1% for the same period in the prior year. The increase in the effective tax rate was primarily driven by discrete income tax expense related to interest on the Company's uncertain tax position liabilities.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Results of Operations – Six months ended June 30, 2022 and 2021</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2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53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4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1093"/>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Revenues and Fees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1,324,258</w:t>
            </w:r>
          </w:p>
        </w:tc>
        <w:tc>
          <w:tcPr>
            <w:tcW w:w="6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1,354,030</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rPr>
              <w:t>(29,772)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and Fees on Loans Receivable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35,650</w:t>
            </w:r>
          </w:p>
        </w:tc>
        <w:tc>
          <w:tcPr>
            <w:tcW w:w="6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26,942</w:t>
            </w:r>
          </w:p>
        </w:tc>
        <w:tc>
          <w:tcPr>
            <w:tcW w:w="4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533"/>
              <w:spacing w:after="0"/>
              <w:rPr>
                <w:sz w:val="20"/>
                <w:szCs w:val="20"/>
                <w:color w:val="auto"/>
              </w:rPr>
            </w:pPr>
            <w:r>
              <w:rPr>
                <w:rFonts w:ascii="Times New Roman" w:cs="Times New Roman" w:eastAsia="Times New Roman" w:hAnsi="Times New Roman"/>
                <w:sz w:val="18"/>
                <w:szCs w:val="18"/>
                <w:color w:val="auto"/>
              </w:rPr>
              <w:t>8,708</w:t>
            </w:r>
          </w:p>
        </w:tc>
        <w:tc>
          <w:tcPr>
            <w:tcW w:w="10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23"/>
        </w:trPr>
        <w:tc>
          <w:tcPr>
            <w:tcW w:w="5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1,359,908</w:t>
            </w:r>
          </w:p>
        </w:tc>
        <w:tc>
          <w:tcPr>
            <w:tcW w:w="600" w:type="dxa"/>
            <w:vAlign w:val="bottom"/>
          </w:tcPr>
          <w:p>
            <w:pPr>
              <w:spacing w:after="0"/>
              <w:rPr>
                <w:sz w:val="19"/>
                <w:szCs w:val="19"/>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1,380,972</w:t>
            </w:r>
          </w:p>
        </w:tc>
        <w:tc>
          <w:tcPr>
            <w:tcW w:w="400" w:type="dxa"/>
            <w:vAlign w:val="bottom"/>
          </w:tcPr>
          <w:p>
            <w:pPr>
              <w:spacing w:after="0"/>
              <w:rPr>
                <w:sz w:val="19"/>
                <w:szCs w:val="19"/>
                <w:color w:val="auto"/>
              </w:rPr>
            </w:pPr>
          </w:p>
        </w:tc>
        <w:tc>
          <w:tcPr>
            <w:tcW w:w="152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rPr>
              <w:t>(21,064)</w:t>
            </w:r>
          </w:p>
        </w:tc>
        <w:tc>
          <w:tcPr>
            <w:tcW w:w="10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of Lease Merchandise</w:t>
            </w:r>
          </w:p>
        </w:tc>
        <w:tc>
          <w:tcPr>
            <w:tcW w:w="34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936,124</w:t>
            </w:r>
          </w:p>
        </w:tc>
        <w:tc>
          <w:tcPr>
            <w:tcW w:w="600" w:type="dxa"/>
            <w:vAlign w:val="bottom"/>
          </w:tcPr>
          <w:p>
            <w:pPr>
              <w:spacing w:after="0"/>
              <w:rPr>
                <w:sz w:val="19"/>
                <w:szCs w:val="19"/>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944,715</w:t>
            </w:r>
          </w:p>
        </w:tc>
        <w:tc>
          <w:tcPr>
            <w:tcW w:w="400" w:type="dxa"/>
            <w:vAlign w:val="bottom"/>
          </w:tcPr>
          <w:p>
            <w:pPr>
              <w:spacing w:after="0"/>
              <w:rPr>
                <w:sz w:val="19"/>
                <w:szCs w:val="19"/>
                <w:color w:val="auto"/>
              </w:rPr>
            </w:pPr>
          </w:p>
        </w:tc>
        <w:tc>
          <w:tcPr>
            <w:tcW w:w="152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rPr>
              <w:t>(8,591)</w:t>
            </w:r>
          </w:p>
        </w:tc>
        <w:tc>
          <w:tcPr>
            <w:tcW w:w="10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Lease Merchandise Write-Offs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112,118</w:t>
            </w: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49,898</w:t>
            </w:r>
          </w:p>
        </w:tc>
        <w:tc>
          <w:tcPr>
            <w:tcW w:w="4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533"/>
              <w:spacing w:after="0"/>
              <w:rPr>
                <w:sz w:val="20"/>
                <w:szCs w:val="20"/>
                <w:color w:val="auto"/>
              </w:rPr>
            </w:pPr>
            <w:r>
              <w:rPr>
                <w:rFonts w:ascii="Times New Roman" w:cs="Times New Roman" w:eastAsia="Times New Roman" w:hAnsi="Times New Roman"/>
                <w:sz w:val="18"/>
                <w:szCs w:val="18"/>
                <w:color w:val="auto"/>
              </w:rPr>
              <w:t>62,220</w:t>
            </w: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124.7</w:t>
            </w:r>
          </w:p>
        </w:tc>
        <w:tc>
          <w:tcPr>
            <w:tcW w:w="0" w:type="dxa"/>
            <w:vAlign w:val="bottom"/>
          </w:tcPr>
          <w:p>
            <w:pPr>
              <w:spacing w:after="0"/>
              <w:rPr>
                <w:sz w:val="1"/>
                <w:szCs w:val="1"/>
                <w:color w:val="auto"/>
              </w:rPr>
            </w:pPr>
          </w:p>
        </w:tc>
      </w:tr>
      <w:tr>
        <w:trPr>
          <w:trHeight w:val="229"/>
        </w:trPr>
        <w:tc>
          <w:tcPr>
            <w:tcW w:w="53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225,264</w:t>
            </w: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187,941</w:t>
            </w:r>
          </w:p>
        </w:tc>
        <w:tc>
          <w:tcPr>
            <w:tcW w:w="4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8"/>
                <w:szCs w:val="18"/>
                <w:color w:val="auto"/>
              </w:rPr>
              <w:t>37,323</w:t>
            </w:r>
          </w:p>
        </w:tc>
        <w:tc>
          <w:tcPr>
            <w:tcW w:w="10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1,273,506</w:t>
            </w: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1,182,554</w:t>
            </w:r>
          </w:p>
        </w:tc>
        <w:tc>
          <w:tcPr>
            <w:tcW w:w="4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533"/>
              <w:spacing w:after="0"/>
              <w:rPr>
                <w:sz w:val="20"/>
                <w:szCs w:val="20"/>
                <w:color w:val="auto"/>
              </w:rPr>
            </w:pPr>
            <w:r>
              <w:rPr>
                <w:rFonts w:ascii="Times New Roman" w:cs="Times New Roman" w:eastAsia="Times New Roman" w:hAnsi="Times New Roman"/>
                <w:sz w:val="18"/>
                <w:szCs w:val="18"/>
                <w:color w:val="auto"/>
              </w:rPr>
              <w:t>90,952</w:t>
            </w: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34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86,402</w:t>
            </w:r>
          </w:p>
        </w:tc>
        <w:tc>
          <w:tcPr>
            <w:tcW w:w="600" w:type="dxa"/>
            <w:vAlign w:val="bottom"/>
          </w:tcPr>
          <w:p>
            <w:pPr>
              <w:spacing w:after="0"/>
              <w:rPr>
                <w:sz w:val="19"/>
                <w:szCs w:val="19"/>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198,418</w:t>
            </w:r>
          </w:p>
        </w:tc>
        <w:tc>
          <w:tcPr>
            <w:tcW w:w="400" w:type="dxa"/>
            <w:vAlign w:val="bottom"/>
          </w:tcPr>
          <w:p>
            <w:pPr>
              <w:spacing w:after="0"/>
              <w:rPr>
                <w:sz w:val="19"/>
                <w:szCs w:val="19"/>
                <w:color w:val="auto"/>
              </w:rPr>
            </w:pPr>
          </w:p>
        </w:tc>
        <w:tc>
          <w:tcPr>
            <w:tcW w:w="152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rPr>
              <w:t>(112,016)</w:t>
            </w:r>
          </w:p>
        </w:tc>
        <w:tc>
          <w:tcPr>
            <w:tcW w:w="10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(56.5)</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(19,237)</w:t>
            </w:r>
          </w:p>
        </w:tc>
        <w:tc>
          <w:tcPr>
            <w:tcW w:w="6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4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493"/>
              <w:spacing w:after="0"/>
              <w:rPr>
                <w:sz w:val="20"/>
                <w:szCs w:val="20"/>
                <w:color w:val="auto"/>
              </w:rPr>
            </w:pPr>
            <w:r>
              <w:rPr>
                <w:rFonts w:ascii="Times New Roman" w:cs="Times New Roman" w:eastAsia="Times New Roman" w:hAnsi="Times New Roman"/>
                <w:sz w:val="18"/>
                <w:szCs w:val="18"/>
                <w:color w:val="auto"/>
              </w:rPr>
              <w:t>(18,289)</w:t>
            </w:r>
          </w:p>
        </w:tc>
        <w:tc>
          <w:tcPr>
            <w:tcW w:w="100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BEFORE INCOME TAX EXPENSE</w:t>
            </w:r>
          </w:p>
        </w:tc>
        <w:tc>
          <w:tcPr>
            <w:tcW w:w="34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67,165</w:t>
            </w:r>
          </w:p>
        </w:tc>
        <w:tc>
          <w:tcPr>
            <w:tcW w:w="600" w:type="dxa"/>
            <w:vAlign w:val="bottom"/>
          </w:tcPr>
          <w:p>
            <w:pPr>
              <w:spacing w:after="0"/>
              <w:rPr>
                <w:sz w:val="19"/>
                <w:szCs w:val="19"/>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197,470</w:t>
            </w:r>
          </w:p>
        </w:tc>
        <w:tc>
          <w:tcPr>
            <w:tcW w:w="400" w:type="dxa"/>
            <w:vAlign w:val="bottom"/>
          </w:tcPr>
          <w:p>
            <w:pPr>
              <w:spacing w:after="0"/>
              <w:rPr>
                <w:sz w:val="19"/>
                <w:szCs w:val="19"/>
                <w:color w:val="auto"/>
              </w:rPr>
            </w:pPr>
          </w:p>
        </w:tc>
        <w:tc>
          <w:tcPr>
            <w:tcW w:w="152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rPr>
              <w:t>(130,305)</w:t>
            </w:r>
          </w:p>
        </w:tc>
        <w:tc>
          <w:tcPr>
            <w:tcW w:w="10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(66.0)</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20,546</w:t>
            </w:r>
          </w:p>
        </w:tc>
        <w:tc>
          <w:tcPr>
            <w:tcW w:w="6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49,145</w:t>
            </w:r>
          </w:p>
        </w:tc>
        <w:tc>
          <w:tcPr>
            <w:tcW w:w="4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493"/>
              <w:spacing w:after="0"/>
              <w:rPr>
                <w:sz w:val="20"/>
                <w:szCs w:val="20"/>
                <w:color w:val="auto"/>
              </w:rPr>
            </w:pPr>
            <w:r>
              <w:rPr>
                <w:rFonts w:ascii="Times New Roman" w:cs="Times New Roman" w:eastAsia="Times New Roman" w:hAnsi="Times New Roman"/>
                <w:sz w:val="18"/>
                <w:szCs w:val="18"/>
                <w:color w:val="auto"/>
              </w:rPr>
              <w:t>(28,599)</w:t>
            </w:r>
          </w:p>
        </w:tc>
        <w:tc>
          <w:tcPr>
            <w:tcW w:w="10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(58.2)</w:t>
            </w:r>
          </w:p>
        </w:tc>
        <w:tc>
          <w:tcPr>
            <w:tcW w:w="0" w:type="dxa"/>
            <w:vAlign w:val="bottom"/>
          </w:tcPr>
          <w:p>
            <w:pPr>
              <w:spacing w:after="0"/>
              <w:rPr>
                <w:sz w:val="1"/>
                <w:szCs w:val="1"/>
                <w:color w:val="auto"/>
              </w:rPr>
            </w:pP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46,619</w:t>
            </w:r>
          </w:p>
        </w:tc>
        <w:tc>
          <w:tcPr>
            <w:tcW w:w="6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148,325</w:t>
            </w:r>
          </w:p>
        </w:tc>
        <w:tc>
          <w:tcPr>
            <w:tcW w:w="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8"/>
                <w:szCs w:val="18"/>
                <w:color w:val="auto"/>
              </w:rPr>
              <w:t>(101,706)</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0" w:type="dxa"/>
            <w:vAlign w:val="bottom"/>
          </w:tcPr>
          <w:p>
            <w:pPr>
              <w:spacing w:after="0"/>
              <w:rPr>
                <w:sz w:val="1"/>
                <w:szCs w:val="1"/>
                <w:color w:val="auto"/>
              </w:rPr>
            </w:pPr>
          </w:p>
        </w:tc>
      </w:tr>
      <w:tr>
        <w:trPr>
          <w:trHeight w:val="21"/>
        </w:trPr>
        <w:tc>
          <w:tcPr>
            <w:tcW w:w="5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nmf—Calculation is not meaningful</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about our revenues by source and reportable segment is as follows:</w:t>
      </w: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7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3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Six Months Ended June 30, 2022</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3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Six Months Ended June 30, 2021</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7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Progressive</w:t>
            </w:r>
          </w:p>
        </w:tc>
        <w:tc>
          <w:tcPr>
            <w:tcW w:w="110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Vive</w:t>
            </w:r>
          </w:p>
        </w:tc>
        <w:tc>
          <w:tcPr>
            <w:tcW w:w="124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00" w:type="dxa"/>
            <w:vAlign w:val="bottom"/>
          </w:tcPr>
          <w:p>
            <w:pPr>
              <w:jc w:val="center"/>
              <w:ind w:left="88"/>
              <w:spacing w:after="0" w:line="131" w:lineRule="exact"/>
              <w:rPr>
                <w:sz w:val="20"/>
                <w:szCs w:val="20"/>
                <w:color w:val="auto"/>
              </w:rPr>
            </w:pPr>
            <w:r>
              <w:rPr>
                <w:rFonts w:ascii="Times New Roman" w:cs="Times New Roman" w:eastAsia="Times New Roman" w:hAnsi="Times New Roman"/>
                <w:sz w:val="14"/>
                <w:szCs w:val="14"/>
                <w:b w:val="1"/>
                <w:bCs w:val="1"/>
                <w:color w:val="auto"/>
              </w:rPr>
              <w:t>Progressive</w:t>
            </w:r>
          </w:p>
        </w:tc>
        <w:tc>
          <w:tcPr>
            <w:tcW w:w="110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Vive</w:t>
            </w:r>
          </w:p>
        </w:tc>
        <w:tc>
          <w:tcPr>
            <w:tcW w:w="124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0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2740" w:type="dxa"/>
            <w:vAlign w:val="bottom"/>
            <w:vMerge w:val="continue"/>
          </w:tcPr>
          <w:p>
            <w:pPr>
              <w:spacing w:after="0"/>
              <w:rPr>
                <w:sz w:val="16"/>
                <w:szCs w:val="16"/>
                <w:color w:val="auto"/>
              </w:rPr>
            </w:pPr>
          </w:p>
        </w:tc>
        <w:tc>
          <w:tcPr>
            <w:tcW w:w="100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Leasing</w:t>
            </w:r>
          </w:p>
        </w:tc>
        <w:tc>
          <w:tcPr>
            <w:tcW w:w="110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100" w:type="dxa"/>
            <w:vAlign w:val="bottom"/>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Leasing</w:t>
            </w:r>
          </w:p>
        </w:tc>
        <w:tc>
          <w:tcPr>
            <w:tcW w:w="110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Lease Revenues and Fees</w:t>
      </w:r>
    </w:p>
    <w:p>
      <w:pPr>
        <w:spacing w:after="0" w:line="27" w:lineRule="exact"/>
        <w:rPr>
          <w:sz w:val="20"/>
          <w:szCs w:val="20"/>
          <w:color w:val="auto"/>
        </w:rPr>
      </w:pPr>
    </w:p>
    <w:p>
      <w:pPr>
        <w:ind w:left="20" w:right="80"/>
        <w:spacing w:after="0" w:line="234" w:lineRule="auto"/>
        <w:rPr>
          <w:sz w:val="20"/>
          <w:szCs w:val="20"/>
          <w:color w:val="auto"/>
        </w:rPr>
      </w:pPr>
      <w:r>
        <w:rPr>
          <w:rFonts w:ascii="Times New Roman" w:cs="Times New Roman" w:eastAsia="Times New Roman" w:hAnsi="Times New Roman"/>
          <w:sz w:val="18"/>
          <w:szCs w:val="18"/>
          <w:color w:val="auto"/>
        </w:rPr>
        <w:t>Interest and Fees on Loans Receivable</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Total Revenues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1,324,258</w:t>
            </w:r>
          </w:p>
        </w:tc>
        <w:tc>
          <w:tcPr>
            <w:tcW w:w="3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 $</w:t>
            </w:r>
          </w:p>
        </w:tc>
        <w:tc>
          <w:tcPr>
            <w:tcW w:w="9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 $</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1,324,258</w:t>
            </w: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1,354,030</w:t>
            </w:r>
          </w:p>
        </w:tc>
        <w:tc>
          <w:tcPr>
            <w:tcW w:w="3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279"/>
              <w:spacing w:after="0"/>
              <w:rPr>
                <w:sz w:val="20"/>
                <w:szCs w:val="20"/>
                <w:color w:val="auto"/>
              </w:rPr>
            </w:pPr>
            <w:r>
              <w:rPr>
                <w:rFonts w:ascii="Times New Roman" w:cs="Times New Roman" w:eastAsia="Times New Roman" w:hAnsi="Times New Roman"/>
                <w:sz w:val="16"/>
                <w:szCs w:val="16"/>
                <w:color w:val="auto"/>
              </w:rPr>
              <w:t>— $</w:t>
            </w:r>
          </w:p>
        </w:tc>
        <w:tc>
          <w:tcPr>
            <w:tcW w:w="8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 $</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1,354,030</w:t>
            </w:r>
          </w:p>
        </w:tc>
      </w:tr>
      <w:tr>
        <w:trPr>
          <w:trHeight w:val="421"/>
        </w:trPr>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34,634</w:t>
            </w:r>
          </w:p>
        </w:tc>
        <w:tc>
          <w:tcPr>
            <w:tcW w:w="3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1,016</w:t>
            </w: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35,650</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26,942</w:t>
            </w:r>
          </w:p>
        </w:tc>
        <w:tc>
          <w:tcPr>
            <w:tcW w:w="4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26,942</w:t>
            </w:r>
          </w:p>
        </w:tc>
      </w:tr>
      <w:tr>
        <w:trPr>
          <w:trHeight w:val="210"/>
        </w:trPr>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1,324,258</w:t>
            </w:r>
          </w:p>
        </w:tc>
        <w:tc>
          <w:tcPr>
            <w:tcW w:w="3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34,634</w:t>
            </w:r>
          </w:p>
        </w:tc>
        <w:tc>
          <w:tcPr>
            <w:tcW w:w="3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1,016</w:t>
            </w:r>
          </w:p>
        </w:tc>
        <w:tc>
          <w:tcPr>
            <w:tcW w:w="2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1,359,908</w:t>
            </w:r>
          </w:p>
        </w:tc>
        <w:tc>
          <w:tcPr>
            <w:tcW w:w="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1,354,030</w:t>
            </w:r>
          </w:p>
        </w:tc>
        <w:tc>
          <w:tcPr>
            <w:tcW w:w="3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26,942</w:t>
            </w:r>
          </w:p>
        </w:tc>
        <w:tc>
          <w:tcPr>
            <w:tcW w:w="4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1,380,972</w:t>
            </w:r>
          </w:p>
        </w:tc>
      </w:tr>
      <w:tr>
        <w:trPr>
          <w:trHeight w:val="23"/>
        </w:trPr>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-1746885</wp:posOffset>
            </wp:positionH>
            <wp:positionV relativeFrom="paragraph">
              <wp:posOffset>-179705</wp:posOffset>
            </wp:positionV>
            <wp:extent cx="7132320" cy="1631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57" w:lineRule="exact"/>
        <w:rPr>
          <w:sz w:val="20"/>
          <w:szCs w:val="20"/>
          <w:color w:val="auto"/>
        </w:rPr>
      </w:pPr>
    </w:p>
    <w:p>
      <w:pPr>
        <w:sectPr>
          <w:pgSz w:w="11900" w:h="16838" w:orient="portrait"/>
          <w:cols w:equalWidth="0" w:num="2">
            <w:col w:w="2040" w:space="720"/>
            <w:col w:w="8480"/>
          </w:cols>
          <w:pgMar w:left="320" w:top="1049" w:right="339" w:bottom="1440" w:gutter="0" w:footer="0" w:header="0"/>
          <w:type w:val="continuous"/>
        </w:sect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decrease in Progressive Leasing revenues was primarily due to an increase in customer payment delinquencies and uncollectible renewal payments for Progressive Leasing, as compared to the strong customer payment activity and low delinquencies it experienced during the six months ended June 30, 2021. The provision for uncollectible renewal payments, which is recorded as a reduction to lease revenues and fees, was $185.5 million for the six months ended June 30, 2022 compared to $76.3 million in the same period in 2021. Lease revenues and fees was also lower as a result of fewer customers electing to exercise early lease buyouts in the first half of 2022, as compared to the same period in 2021, and a 1.7% decline in Progressive Leasing's GMV in the first half of 2022, as compared to the same period in 2021.</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0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Information about certain significant components of operating expenses for the six months ended June 30, 2022 as compared to the six months ended June 30, 2021 is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1152"/>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Personnel Costs</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102,867</w:t>
            </w:r>
          </w:p>
        </w:tc>
        <w:tc>
          <w:tcPr>
            <w:tcW w:w="6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90,061</w:t>
            </w:r>
          </w:p>
        </w:tc>
        <w:tc>
          <w:tcPr>
            <w:tcW w:w="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rPr>
              <w:t>12,806</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14.2 %</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9,040</w:t>
            </w:r>
          </w:p>
        </w:tc>
        <w:tc>
          <w:tcPr>
            <w:tcW w:w="620" w:type="dxa"/>
            <w:vAlign w:val="bottom"/>
          </w:tcPr>
          <w:p>
            <w:pPr>
              <w:spacing w:after="0"/>
              <w:rPr>
                <w:sz w:val="19"/>
                <w:szCs w:val="19"/>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8,136</w:t>
            </w:r>
          </w:p>
        </w:tc>
        <w:tc>
          <w:tcPr>
            <w:tcW w:w="460" w:type="dxa"/>
            <w:vAlign w:val="bottom"/>
          </w:tcPr>
          <w:p>
            <w:pPr>
              <w:spacing w:after="0"/>
              <w:rPr>
                <w:sz w:val="19"/>
                <w:szCs w:val="19"/>
                <w:color w:val="auto"/>
              </w:rPr>
            </w:pPr>
          </w:p>
        </w:tc>
        <w:tc>
          <w:tcPr>
            <w:tcW w:w="160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rPr>
              <w:t>904</w:t>
            </w: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Occupancy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3,344</w:t>
            </w: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2,814</w:t>
            </w:r>
          </w:p>
        </w:tc>
        <w:tc>
          <w:tcPr>
            <w:tcW w:w="4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rPr>
              <w:t>530</w:t>
            </w:r>
          </w:p>
        </w:tc>
        <w:tc>
          <w:tcPr>
            <w:tcW w:w="10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8,047</w:t>
            </w:r>
          </w:p>
        </w:tc>
        <w:tc>
          <w:tcPr>
            <w:tcW w:w="620" w:type="dxa"/>
            <w:vAlign w:val="bottom"/>
          </w:tcPr>
          <w:p>
            <w:pPr>
              <w:spacing w:after="0"/>
              <w:rPr>
                <w:sz w:val="19"/>
                <w:szCs w:val="19"/>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7,648</w:t>
            </w:r>
          </w:p>
        </w:tc>
        <w:tc>
          <w:tcPr>
            <w:tcW w:w="460" w:type="dxa"/>
            <w:vAlign w:val="bottom"/>
          </w:tcPr>
          <w:p>
            <w:pPr>
              <w:spacing w:after="0"/>
              <w:rPr>
                <w:sz w:val="19"/>
                <w:szCs w:val="19"/>
                <w:color w:val="auto"/>
              </w:rPr>
            </w:pPr>
          </w:p>
        </w:tc>
        <w:tc>
          <w:tcPr>
            <w:tcW w:w="160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rPr>
              <w:t>399</w:t>
            </w:r>
          </w:p>
        </w:tc>
        <w:tc>
          <w:tcPr>
            <w:tcW w:w="10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11,783</w:t>
            </w: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11,462</w:t>
            </w:r>
          </w:p>
        </w:tc>
        <w:tc>
          <w:tcPr>
            <w:tcW w:w="4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rPr>
              <w:t>321</w:t>
            </w:r>
          </w:p>
        </w:tc>
        <w:tc>
          <w:tcPr>
            <w:tcW w:w="10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Sales Acquisition Expense</w:t>
            </w:r>
            <w:r>
              <w:rPr>
                <w:rFonts w:ascii="Times New Roman" w:cs="Times New Roman" w:eastAsia="Times New Roman" w:hAnsi="Times New Roman"/>
                <w:sz w:val="23"/>
                <w:szCs w:val="23"/>
                <w:color w:val="auto"/>
                <w:vertAlign w:val="superscript"/>
              </w:rPr>
              <w:t>2</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13,329</w:t>
            </w:r>
          </w:p>
        </w:tc>
        <w:tc>
          <w:tcPr>
            <w:tcW w:w="620" w:type="dxa"/>
            <w:vAlign w:val="bottom"/>
          </w:tcPr>
          <w:p>
            <w:pPr>
              <w:spacing w:after="0"/>
              <w:rPr>
                <w:sz w:val="19"/>
                <w:szCs w:val="19"/>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10,502</w:t>
            </w:r>
          </w:p>
        </w:tc>
        <w:tc>
          <w:tcPr>
            <w:tcW w:w="460" w:type="dxa"/>
            <w:vAlign w:val="bottom"/>
          </w:tcPr>
          <w:p>
            <w:pPr>
              <w:spacing w:after="0"/>
              <w:rPr>
                <w:sz w:val="19"/>
                <w:szCs w:val="19"/>
                <w:color w:val="auto"/>
              </w:rPr>
            </w:pPr>
          </w:p>
        </w:tc>
        <w:tc>
          <w:tcPr>
            <w:tcW w:w="160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rPr>
              <w:t>2,827</w:t>
            </w: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Computer Software Expense</w:t>
            </w:r>
            <w:r>
              <w:rPr>
                <w:rFonts w:ascii="Times New Roman" w:cs="Times New Roman" w:eastAsia="Times New Roman" w:hAnsi="Times New Roman"/>
                <w:sz w:val="23"/>
                <w:szCs w:val="23"/>
                <w:color w:val="auto"/>
                <w:vertAlign w:val="superscript"/>
              </w:rPr>
              <w:t>3</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13,118</w:t>
            </w: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8,794</w:t>
            </w:r>
          </w:p>
        </w:tc>
        <w:tc>
          <w:tcPr>
            <w:tcW w:w="4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rPr>
              <w:t>4,324</w:t>
            </w:r>
          </w:p>
        </w:tc>
        <w:tc>
          <w:tcPr>
            <w:tcW w:w="108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49.2</w:t>
            </w:r>
          </w:p>
        </w:tc>
        <w:tc>
          <w:tcPr>
            <w:tcW w:w="0" w:type="dxa"/>
            <w:vAlign w:val="bottom"/>
          </w:tcPr>
          <w:p>
            <w:pPr>
              <w:spacing w:after="0"/>
              <w:rPr>
                <w:sz w:val="1"/>
                <w:szCs w:val="1"/>
                <w:color w:val="auto"/>
              </w:rPr>
            </w:pPr>
          </w:p>
        </w:tc>
      </w:tr>
      <w:tr>
        <w:trPr>
          <w:trHeight w:val="230"/>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Sales, General and Administrative Expense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25,927</w:t>
            </w: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21,815</w:t>
            </w:r>
          </w:p>
        </w:tc>
        <w:tc>
          <w:tcPr>
            <w:tcW w:w="4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8"/>
                <w:szCs w:val="18"/>
                <w:color w:val="auto"/>
              </w:rPr>
              <w:t>4,112</w:t>
            </w:r>
          </w:p>
        </w:tc>
        <w:tc>
          <w:tcPr>
            <w:tcW w:w="10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23"/>
        </w:trPr>
        <w:tc>
          <w:tcPr>
            <w:tcW w:w="5120" w:type="dxa"/>
            <w:vAlign w:val="bottom"/>
            <w:shd w:val="clear" w:color="auto" w:fill="CCEEFF"/>
          </w:tcPr>
          <w:p>
            <w:pPr>
              <w:ind w:left="180"/>
              <w:spacing w:after="0" w:line="223" w:lineRule="exact"/>
              <w:rPr>
                <w:sz w:val="20"/>
                <w:szCs w:val="20"/>
                <w:color w:val="auto"/>
              </w:rPr>
            </w:pPr>
            <w:r>
              <w:rPr>
                <w:rFonts w:ascii="Times New Roman" w:cs="Times New Roman" w:eastAsia="Times New Roman" w:hAnsi="Times New Roman"/>
                <w:sz w:val="18"/>
                <w:szCs w:val="18"/>
                <w:b w:val="1"/>
                <w:bCs w:val="1"/>
                <w:color w:val="auto"/>
              </w:rPr>
              <w:t>Sales, General and Administrative Expense</w:t>
            </w:r>
            <w:r>
              <w:rPr>
                <w:rFonts w:ascii="Times New Roman" w:cs="Times New Roman" w:eastAsia="Times New Roman" w:hAnsi="Times New Roman"/>
                <w:sz w:val="23"/>
                <w:szCs w:val="23"/>
                <w:color w:val="auto"/>
                <w:vertAlign w:val="superscript"/>
              </w:rPr>
              <w:t>4</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187,455</w:t>
            </w: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161,232</w:t>
            </w:r>
          </w:p>
        </w:tc>
        <w:tc>
          <w:tcPr>
            <w:tcW w:w="4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rPr>
              <w:t>26,223</w:t>
            </w:r>
          </w:p>
        </w:tc>
        <w:tc>
          <w:tcPr>
            <w:tcW w:w="108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16,460</w:t>
            </w:r>
          </w:p>
        </w:tc>
        <w:tc>
          <w:tcPr>
            <w:tcW w:w="620" w:type="dxa"/>
            <w:vAlign w:val="bottom"/>
          </w:tcPr>
          <w:p>
            <w:pPr>
              <w:spacing w:after="0"/>
              <w:rPr>
                <w:sz w:val="19"/>
                <w:szCs w:val="19"/>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10,856</w:t>
            </w:r>
          </w:p>
        </w:tc>
        <w:tc>
          <w:tcPr>
            <w:tcW w:w="460" w:type="dxa"/>
            <w:vAlign w:val="bottom"/>
          </w:tcPr>
          <w:p>
            <w:pPr>
              <w:spacing w:after="0"/>
              <w:rPr>
                <w:sz w:val="19"/>
                <w:szCs w:val="19"/>
                <w:color w:val="auto"/>
              </w:rPr>
            </w:pPr>
          </w:p>
        </w:tc>
        <w:tc>
          <w:tcPr>
            <w:tcW w:w="160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rPr>
              <w:t>5,604</w:t>
            </w: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17,021</w:t>
            </w: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15,853</w:t>
            </w:r>
          </w:p>
        </w:tc>
        <w:tc>
          <w:tcPr>
            <w:tcW w:w="4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rPr>
              <w:t>1,168</w:t>
            </w:r>
          </w:p>
        </w:tc>
        <w:tc>
          <w:tcPr>
            <w:tcW w:w="10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30"/>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Restructuring Expense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4,328</w:t>
            </w: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8"/>
                <w:szCs w:val="18"/>
                <w:color w:val="auto"/>
              </w:rPr>
              <w:t>4,328</w:t>
            </w:r>
          </w:p>
        </w:tc>
        <w:tc>
          <w:tcPr>
            <w:tcW w:w="10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48"/>
        </w:trPr>
        <w:tc>
          <w:tcPr>
            <w:tcW w:w="5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225,264</w:t>
            </w:r>
          </w:p>
        </w:tc>
        <w:tc>
          <w:tcPr>
            <w:tcW w:w="6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187,941</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rPr>
              <w:t>37,323</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19.9 %</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ind w:left="80" w:hanging="72"/>
        <w:spacing w:after="0"/>
        <w:tabs>
          <w:tab w:leader="none" w:pos="80" w:val="left"/>
        </w:tabs>
        <w:numPr>
          <w:ilvl w:val="0"/>
          <w:numId w:val="1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Personnel costs excludes stock-based compensation expense, which is reported separately in the operating expense table.</w:t>
      </w:r>
    </w:p>
    <w:p>
      <w:pPr>
        <w:spacing w:after="0" w:line="69" w:lineRule="exact"/>
        <w:rPr>
          <w:sz w:val="20"/>
          <w:szCs w:val="20"/>
          <w:color w:val="auto"/>
        </w:rPr>
      </w:pPr>
    </w:p>
    <w:p>
      <w:pPr>
        <w:ind w:right="60" w:firstLine="8"/>
        <w:spacing w:after="0" w:line="237" w:lineRule="auto"/>
        <w:tabs>
          <w:tab w:leader="none" w:pos="70" w:val="left"/>
        </w:tabs>
        <w:numPr>
          <w:ilvl w:val="0"/>
          <w:numId w:val="1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Sales acquisition expense includes vendor incentives and rebates to POS partners, external sales commissions, amortization of initial direct costs and amounts paid to various POS partners to be their exclusive provider of lease-to-own solutions.</w:t>
      </w:r>
    </w:p>
    <w:p>
      <w:pPr>
        <w:spacing w:after="0" w:line="11" w:lineRule="exact"/>
        <w:rPr>
          <w:sz w:val="20"/>
          <w:szCs w:val="20"/>
          <w:color w:val="auto"/>
        </w:rPr>
      </w:pPr>
    </w:p>
    <w:p>
      <w:pPr>
        <w:ind w:left="80" w:hanging="72"/>
        <w:spacing w:after="0"/>
        <w:tabs>
          <w:tab w:leader="none" w:pos="80" w:val="left"/>
        </w:tabs>
        <w:numPr>
          <w:ilvl w:val="0"/>
          <w:numId w:val="1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Computer software expense consists primarily of software subscription fees, licensing fees and non-capitalizable software implementation costs.</w:t>
      </w:r>
    </w:p>
    <w:p>
      <w:pPr>
        <w:spacing w:after="0" w:line="11" w:lineRule="exact"/>
        <w:rPr>
          <w:sz w:val="20"/>
          <w:szCs w:val="20"/>
          <w:color w:val="auto"/>
        </w:rPr>
      </w:pPr>
    </w:p>
    <w:p>
      <w:pPr>
        <w:ind w:left="80" w:hanging="72"/>
        <w:spacing w:after="0"/>
        <w:tabs>
          <w:tab w:leader="none" w:pos="80" w:val="left"/>
        </w:tabs>
        <w:numPr>
          <w:ilvl w:val="0"/>
          <w:numId w:val="1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Progressive Leasing's sales, general and administrative expense was $167.9 million and $151.5 million during the six months ended June 30, 2022 and 2021, respectively.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personnel costs of $12.8 million was driven by an increase of $8.9 million and $1.0 million at Progressive Leasing and Vive,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resulting from wage increases and promotions, partially offset by a reduction in short-term incentive expense at Progressive Leasing. An additional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 million in personnel costs was attributable to the acquisition and growth of Four, and other strategic initiatives started by the Company in 2021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continued incurring costs during the first half of 2022.</w:t>
      </w:r>
    </w:p>
    <w:p>
      <w:pPr>
        <w:spacing w:after="0" w:line="8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Sales acquisition expense increased $2.8 million compared to the prior year primarily due to increased incentives, sales commissions, and other expenses at Progressive Leasing to promote lease originations with its POS partners.</w:t>
      </w:r>
    </w:p>
    <w:p>
      <w:pPr>
        <w:spacing w:after="0" w:line="2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Computer software expense increased $4.3 million primarily due to an increase in non-capitalizable costs for software implementation projects by Progressive Leasing during the first six months of 2022, new strategic initiatives started by the Company in 2021 that continued incurring costs in the first half of 2022, and increased software and licensing costs.</w:t>
      </w:r>
    </w:p>
    <w:p>
      <w:pPr>
        <w:spacing w:after="0" w:line="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Other sales, general and administrative expense increased $4.1 million primarily due to additional administrative costs within Progressive Leasing and Vive during 2022, as well as an increase of $0.8 million due to the acquisition and growth of Four, and other strategic initiatives started by the Company in 2021 that continued incurring costs during the first half of 2022.</w:t>
      </w:r>
    </w:p>
    <w:p>
      <w:pPr>
        <w:spacing w:after="0" w:line="5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 xml:space="preserve">Provision for loan losses increased $5.6 million due to an increase in the Company's overall loan portfolio, resulting from growth in GMV at Vive during 2021 and the acquisition of Four in June 2021, and also due to higher delinquencies at Vive during the six months ended June 30, 2022 as compared to the strong customer payment activity during the same period in 2021. </w:t>
      </w:r>
      <w:r>
        <w:rPr>
          <w:rFonts w:ascii="Times New Roman" w:cs="Times New Roman" w:eastAsia="Times New Roman" w:hAnsi="Times New Roman"/>
          <w:sz w:val="18"/>
          <w:szCs w:val="18"/>
          <w:color w:val="242424"/>
        </w:rPr>
        <w:t>Th</w:t>
      </w:r>
      <w:r>
        <w:rPr>
          <w:rFonts w:ascii="Times New Roman" w:cs="Times New Roman" w:eastAsia="Times New Roman" w:hAnsi="Times New Roman"/>
          <w:sz w:val="18"/>
          <w:szCs w:val="18"/>
          <w:color w:val="auto"/>
        </w:rPr>
        <w:t>e provision for loan losses as a percentage of interest and fees revenue increased to 46.2% for the six months ended June 30, 2022 com</w:t>
      </w:r>
      <w:r>
        <w:rPr>
          <w:rFonts w:ascii="Times New Roman" w:cs="Times New Roman" w:eastAsia="Times New Roman" w:hAnsi="Times New Roman"/>
          <w:sz w:val="18"/>
          <w:szCs w:val="18"/>
          <w:color w:val="242424"/>
        </w:rPr>
        <w:t>pared to 40.3% in the same period in</w:t>
      </w:r>
      <w:r>
        <w:rPr>
          <w:rFonts w:ascii="Times New Roman" w:cs="Times New Roman" w:eastAsia="Times New Roman" w:hAnsi="Times New Roman"/>
          <w:sz w:val="18"/>
          <w:szCs w:val="18"/>
          <w:color w:val="auto"/>
        </w:rPr>
        <w:t xml:space="preserve"> 2021, </w:t>
      </w:r>
      <w:r>
        <w:rPr>
          <w:rFonts w:ascii="Times New Roman" w:cs="Times New Roman" w:eastAsia="Times New Roman" w:hAnsi="Times New Roman"/>
          <w:sz w:val="18"/>
          <w:szCs w:val="18"/>
          <w:color w:val="242424"/>
        </w:rPr>
        <w:t>due to higher write-offs within our Four operations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424"/>
        </w:rPr>
        <w:t>delinquencies at Vive returning to pre-pandemic levels.</w:t>
      </w:r>
    </w:p>
    <w:p>
      <w:pPr>
        <w:spacing w:after="0" w:line="4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242424"/>
        </w:rPr>
        <w:t xml:space="preserve">Restructuring expense of $4.3 million </w:t>
      </w:r>
      <w:r>
        <w:rPr>
          <w:rFonts w:ascii="Times New Roman" w:cs="Times New Roman" w:eastAsia="Times New Roman" w:hAnsi="Times New Roman"/>
          <w:sz w:val="18"/>
          <w:szCs w:val="18"/>
          <w:color w:val="000000"/>
        </w:rPr>
        <w:t>is the result of a number of restructuring activities initiated by the Company</w:t>
      </w:r>
      <w:r>
        <w:rPr>
          <w:rFonts w:ascii="Times New Roman" w:cs="Times New Roman" w:eastAsia="Times New Roman" w:hAnsi="Times New Roman"/>
          <w:sz w:val="18"/>
          <w:szCs w:val="18"/>
          <w:color w:val="242424"/>
        </w:rPr>
        <w:t xml:space="preserve"> in the second quarter of </w:t>
      </w:r>
      <w:r>
        <w:rPr>
          <w:rFonts w:ascii="Times New Roman" w:cs="Times New Roman" w:eastAsia="Times New Roman" w:hAnsi="Times New Roman"/>
          <w:sz w:val="18"/>
          <w:szCs w:val="18"/>
          <w:color w:val="000000"/>
        </w:rPr>
        <w:t>2022 intended</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 xml:space="preserve">to reduce expenses, consolidate certain segment corporate headquarters, and align the cost structure of the business with our near-term revenue outlook. </w:t>
      </w:r>
      <w:r>
        <w:rPr>
          <w:rFonts w:ascii="Times New Roman" w:cs="Times New Roman" w:eastAsia="Times New Roman" w:hAnsi="Times New Roman"/>
          <w:sz w:val="18"/>
          <w:szCs w:val="18"/>
          <w:color w:val="242424"/>
        </w:rPr>
        <w:t xml:space="preserve">The restructuring expense </w:t>
      </w:r>
      <w:r>
        <w:rPr>
          <w:rFonts w:ascii="Times New Roman" w:cs="Times New Roman" w:eastAsia="Times New Roman" w:hAnsi="Times New Roman"/>
          <w:sz w:val="18"/>
          <w:szCs w:val="18"/>
          <w:color w:val="000000"/>
        </w:rPr>
        <w:t>was primarily comprised of severance costs associated with a reduction in Progressive Leasing's workforce and operating lease</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right-of-use asset impairment charges related to the relocation of the Vive corporate headquarters to the Company's corporate office building.</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Costs and Expenses</w:t>
      </w:r>
    </w:p>
    <w:p>
      <w:pPr>
        <w:spacing w:after="0" w:line="10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Depreciation of lease merchandise. </w:t>
      </w:r>
      <w:r>
        <w:rPr>
          <w:rFonts w:ascii="Times New Roman" w:cs="Times New Roman" w:eastAsia="Times New Roman" w:hAnsi="Times New Roman"/>
          <w:sz w:val="18"/>
          <w:szCs w:val="18"/>
          <w:color w:val="auto"/>
        </w:rPr>
        <w:t>Depreciation of lease merchandise decreased by 0.9% due to fewer customers exercising 90-day and other early lease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buyout elections in the first six months of 2022 when compared to the same period in 2021. As a percentage of total lease revenues and fees, depreciation of lease merchandise increased to 70.7% from 69.8% in the prior year period, primarily due to an increase in uncollectible renewal payments in the first six months of 2022 compared to the same period in 2021.</w:t>
      </w:r>
    </w:p>
    <w:p>
      <w:pPr>
        <w:spacing w:after="0" w:line="4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i w:val="1"/>
          <w:iCs w:val="1"/>
          <w:color w:val="auto"/>
        </w:rPr>
        <w:t>Provision for lease merchandise write-offs</w:t>
      </w:r>
      <w:r>
        <w:rPr>
          <w:rFonts w:ascii="Times New Roman" w:cs="Times New Roman" w:eastAsia="Times New Roman" w:hAnsi="Times New Roman"/>
          <w:sz w:val="18"/>
          <w:szCs w:val="18"/>
          <w:color w:val="auto"/>
        </w:rPr>
        <w:t>. The provision for lease merchandise write-offs increased $62.2 million due to higher customer payment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delinquencies and write-offs in the first six months of 2022, compared to the strong customer payment activity and lower lease merchandise write-offs we experienced during the first six months of 2021. Given the significant economic uncertainty resulting from the rate of the increase in inflation experienced in recent months, the absence of government stimulus payments and enhanced unemployment benefits and child tax credits, which we believe benefited many of our customers in the first half of 2021, and the ongoing impacts of the COVID-19 pandemic and the potential effects of such developments on our POS partners, customers, and business going forward, a high level of estimation was involved in determining the allowance as of June 30, 2022. Actual lease merchandise write-offs could differ materially from the allowance.</w:t>
      </w:r>
    </w:p>
    <w:p>
      <w:pPr>
        <w:spacing w:after="0" w:line="6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provision for lease merchandise write-offs as a percentage of lease revenues increased to 8.5% for the six months ended June 30, 2022 from 3.7% for the same period in 2021 due to higher customer payment delinquencies and write-offs, and changes in estimates on the allowance as discussed above.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Before Income Taxes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about our earnings before income taxes by reportable segment is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20" w:type="dxa"/>
            <w:vAlign w:val="bottom"/>
            <w:gridSpan w:val="3"/>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420" w:type="dxa"/>
            <w:vAlign w:val="bottom"/>
          </w:tcPr>
          <w:p>
            <w:pPr>
              <w:spacing w:after="0"/>
              <w:rPr>
                <w:sz w:val="13"/>
                <w:szCs w:val="13"/>
                <w:color w:val="auto"/>
              </w:rPr>
            </w:pPr>
          </w:p>
        </w:tc>
        <w:tc>
          <w:tcPr>
            <w:tcW w:w="1500" w:type="dxa"/>
            <w:vAlign w:val="bottom"/>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6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076"/>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BEFORE INCOME TAXES: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Progressive Leasing</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69,464</w:t>
            </w: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191,693</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476"/>
              <w:spacing w:after="0"/>
              <w:rPr>
                <w:sz w:val="20"/>
                <w:szCs w:val="20"/>
                <w:color w:val="auto"/>
              </w:rPr>
            </w:pPr>
            <w:r>
              <w:rPr>
                <w:rFonts w:ascii="Times New Roman" w:cs="Times New Roman" w:eastAsia="Times New Roman" w:hAnsi="Times New Roman"/>
                <w:sz w:val="18"/>
                <w:szCs w:val="18"/>
                <w:color w:val="auto"/>
              </w:rPr>
              <w:t>(122,229)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Vive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7,778</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5,777</w:t>
            </w:r>
          </w:p>
        </w:tc>
        <w:tc>
          <w:tcPr>
            <w:tcW w:w="4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rPr>
              <w:t>2,001</w:t>
            </w:r>
          </w:p>
        </w:tc>
        <w:tc>
          <w:tcPr>
            <w:tcW w:w="10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29"/>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(10,077)</w:t>
            </w: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8"/>
                <w:szCs w:val="18"/>
                <w:color w:val="auto"/>
              </w:rPr>
              <w:t>(10,077)</w:t>
            </w:r>
          </w:p>
        </w:tc>
        <w:tc>
          <w:tcPr>
            <w:tcW w:w="100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48"/>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Earnings Before Income Taxes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67,165</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197,470</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ind w:right="476"/>
              <w:spacing w:after="0"/>
              <w:rPr>
                <w:sz w:val="20"/>
                <w:szCs w:val="20"/>
                <w:color w:val="auto"/>
              </w:rPr>
            </w:pPr>
            <w:r>
              <w:rPr>
                <w:rFonts w:ascii="Times New Roman" w:cs="Times New Roman" w:eastAsia="Times New Roman" w:hAnsi="Times New Roman"/>
                <w:sz w:val="18"/>
                <w:szCs w:val="18"/>
                <w:color w:val="auto"/>
              </w:rPr>
              <w:t>(130,305)</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nmf—Calculation is not meaningful</w:t>
      </w:r>
    </w:p>
    <w:p>
      <w:pPr>
        <w:spacing w:after="0" w:line="11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$10.1 million loss before income tax expense within "Other" primarily relates to our Four operations. Factors impacting the change in earnings before income taxes are discussed above.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9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Income tax expense decreased to $20.5 million for the six months ended June 30, 2022 compared to $49.1 million in the prior year comparable period. The effective tax rate was 30.6% during the six months ended June 30, 2022 compared to 24.9% in the same period in the prior year. The increase in the effective tax rate is primarily driven by discrete income tax expense related to the Company's uncertain tax position liabilities and the employee stock-based compensation vesting event that occurred in the first quarter of 2022. There are no material adjustments between the Company's effective tax rate of 24.9% for the six months ended June 30, 2021 and the Company's statutory income tax rate.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Overview of Financial Position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major changes in the condensed consolidated balance sheet from December 31, 2021 to June 30, 2022 include:</w:t>
      </w:r>
    </w:p>
    <w:p>
      <w:pPr>
        <w:spacing w:after="0" w:line="90" w:lineRule="exact"/>
        <w:rPr>
          <w:sz w:val="20"/>
          <w:szCs w:val="20"/>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b w:val="1"/>
          <w:bCs w:val="1"/>
          <w:i w:val="1"/>
          <w:iCs w:val="1"/>
          <w:color w:val="242424"/>
        </w:rPr>
      </w:pPr>
      <w:r>
        <w:rPr>
          <w:rFonts w:ascii="Times New Roman" w:cs="Times New Roman" w:eastAsia="Times New Roman" w:hAnsi="Times New Roman"/>
          <w:sz w:val="18"/>
          <w:szCs w:val="18"/>
          <w:color w:val="auto"/>
        </w:rPr>
        <w:t>Cash and cash equivalents decreased $42.8 million to $127.3 million during the six months ended June 30, 2022. For additional information, refer to the "Liquidity and Capital Resources" section below.</w:t>
      </w:r>
    </w:p>
    <w:p>
      <w:pPr>
        <w:spacing w:after="0" w:line="40" w:lineRule="exact"/>
        <w:rPr>
          <w:rFonts w:ascii="Times New Roman" w:cs="Times New Roman" w:eastAsia="Times New Roman" w:hAnsi="Times New Roman"/>
          <w:sz w:val="18"/>
          <w:szCs w:val="18"/>
          <w:b w:val="1"/>
          <w:bCs w:val="1"/>
          <w:i w:val="1"/>
          <w:iCs w:val="1"/>
          <w:color w:val="242424"/>
        </w:rPr>
      </w:pPr>
    </w:p>
    <w:p>
      <w:pPr>
        <w:ind w:left="660" w:right="140" w:hanging="328"/>
        <w:spacing w:after="0" w:line="266" w:lineRule="auto"/>
        <w:tabs>
          <w:tab w:leader="none" w:pos="655" w:val="left"/>
        </w:tabs>
        <w:numPr>
          <w:ilvl w:val="0"/>
          <w:numId w:val="19"/>
        </w:numPr>
        <w:rPr>
          <w:rFonts w:ascii="Times New Roman" w:cs="Times New Roman" w:eastAsia="Times New Roman" w:hAnsi="Times New Roman"/>
          <w:sz w:val="18"/>
          <w:szCs w:val="18"/>
          <w:b w:val="1"/>
          <w:bCs w:val="1"/>
          <w:i w:val="1"/>
          <w:iCs w:val="1"/>
          <w:color w:val="242424"/>
        </w:rPr>
      </w:pPr>
      <w:r>
        <w:rPr>
          <w:rFonts w:ascii="Times New Roman" w:cs="Times New Roman" w:eastAsia="Times New Roman" w:hAnsi="Times New Roman"/>
          <w:sz w:val="18"/>
          <w:szCs w:val="18"/>
          <w:color w:val="auto"/>
        </w:rPr>
        <w:t>Lease merchandise, net of accumulated depreciation and allowances, decreased $98.8 million due primarily to an increase of $45.7 million in accumulated depreciation and allowance on lease merchandise and a decrease in Progressive Leasing's GMV of 22.2% for the second quarter of 2022 as compared to the fourth quarter of 2021.</w:t>
      </w:r>
    </w:p>
    <w:p>
      <w:pPr>
        <w:spacing w:after="0" w:line="200" w:lineRule="exact"/>
        <w:rPr>
          <w:sz w:val="20"/>
          <w:szCs w:val="20"/>
          <w:color w:val="auto"/>
        </w:rPr>
      </w:pPr>
    </w:p>
    <w:p>
      <w:pPr>
        <w:spacing w:after="0" w:line="3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3" w:right="419" w:bottom="1440" w:gutter="0" w:footer="0" w:header="0"/>
        </w:sectPr>
      </w:pPr>
    </w:p>
    <w:bookmarkStart w:id="31" w:name="page32"/>
    <w:bookmarkEnd w:id="31"/>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that our primary capital requirements will consist of:</w:t>
      </w:r>
    </w:p>
    <w:p>
      <w:pPr>
        <w:spacing w:after="0" w:line="90" w:lineRule="exact"/>
        <w:rPr>
          <w:sz w:val="20"/>
          <w:szCs w:val="20"/>
          <w:color w:val="auto"/>
        </w:rPr>
      </w:pPr>
    </w:p>
    <w:p>
      <w:pPr>
        <w:ind w:left="660" w:right="280" w:hanging="328"/>
        <w:spacing w:after="0" w:line="312" w:lineRule="auto"/>
        <w:tabs>
          <w:tab w:leader="none" w:pos="65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Reinvesting in our business, including buying merchandise for the operations of Progressive Leasing. Because we believe Progressive Leasing will continue to grow over the long-term, we expect that the need for additional lease merchandise will remain a major capital requirement;</w:t>
      </w:r>
    </w:p>
    <w:p>
      <w:pPr>
        <w:spacing w:after="0" w:line="18"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merger and acquisition investment(s) to further broaden our product offerings;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Returning excess cash to shareholders through periodically repurchasing stock.</w:t>
      </w:r>
    </w:p>
    <w:p>
      <w:pPr>
        <w:spacing w:after="0" w:line="9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Other capital requirements include (i) expenditures related to software development; (ii) expenditures related to our corporate operating activities; (iii) personnel expenditures; (iv) income tax payments; (v) funding of loans receivable for Vive; and (vi) servicing our outstanding debt obligation.</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capital requirements have been financed through:</w:t>
      </w:r>
    </w:p>
    <w:p>
      <w:pPr>
        <w:spacing w:after="0" w:line="104"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flows from operations;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debt offerings;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debt;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offerings.</w:t>
      </w:r>
    </w:p>
    <w:p>
      <w:pPr>
        <w:spacing w:after="0" w:line="90"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As of June 30, 2022, the Company had $127.3 million of cash, $350.0 million of availability under the Revolving Facility, and $600.0 million of indebtedness.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Provided by Operating Activities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provided by operating activities was $155.7 million and $238.8 million during the six months ended June 30, 2022 and 2021, respectively. The</w:t>
      </w:r>
    </w:p>
    <w:p>
      <w:pPr>
        <w:spacing w:after="0" w:line="2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$83.1 million decrease in operating cash flows was driven by a reduction in customer payment activity compared to the prior year period, primarily due to increased customer payment delinquencies and fewer customers exercising early lease buyout options in the first six months of 2022 as compared to the same period in 2021. The decrease in cash provided by operating activities is also a result of $17.1 million of interest paid on the Company's Senior Notes and changes in certain working capital accounts, including a decrease of $33.4 million in accounts payable and accrued expenses. The change was partially offset by a $22.5 million decrease in purchases of lease merchandise by Progressive Leasing during the six months ended June 30, 2022 compared to the same period in 2021. Other changes in cash provided by operating activities are discussed above in our discussion of results for the six months ended June 30, 2022.</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Used in Investing Activities</w:t>
      </w:r>
    </w:p>
    <w:p>
      <w:pPr>
        <w:spacing w:after="0" w:line="10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Cash used in investing activities was $22.0 million and $58.7 million during the six months ended June 30, 2022 and 2021, respectively. The $36.7 million decrease in investing cash outflows in the six months ended June 30, 2022 as compared to the same period in 2021 was primarily due to the $22.7 million of cash paid for the acquisition of Four in June 2021. Additionally, proceeds from loans receivable increased $13.3 million and cash outflows for investments in loans receivables decreased $1.4 million as compared to the same period in 2021.</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Used in Financing Activities</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was $176.6 million during the six months ended June 30, 2022 compared to $79.3 million during the same period in 2021. Cash used in financing activities in the six months ended June 30, 2022 was primarily used for the Company's repurchase of $176.5 million of its common stock, compared to $77.2 million of share repurchases in the same period in the prior year.</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2" w:name="page33"/>
    <w:bookmarkEnd w:id="32"/>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10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purchase our stock in the market from time to time as authorized by our Board of Directors. On November 3, 2021, the Company announced that its Board of Directors had authorized a new $1 billion share repurchase program that replaced the previous $300 million repurchase program. The Company repurchased 6,099,866 shares for $176.5 million during the six months ended June 30, 2022. As of June 30, 2022, we had the authority to purchase additional shares up to our remaining authorization limit of $384.4 million.</w:t>
      </w:r>
    </w:p>
    <w:p>
      <w:pPr>
        <w:spacing w:after="0" w:line="45" w:lineRule="exact"/>
        <w:rPr>
          <w:sz w:val="20"/>
          <w:szCs w:val="20"/>
          <w:color w:val="auto"/>
        </w:rPr>
      </w:pPr>
    </w:p>
    <w:p>
      <w:pPr>
        <w:ind w:right="1960"/>
        <w:spacing w:after="0" w:line="399" w:lineRule="auto"/>
        <w:rPr>
          <w:sz w:val="20"/>
          <w:szCs w:val="20"/>
          <w:color w:val="auto"/>
        </w:rPr>
      </w:pPr>
      <w:r>
        <w:rPr>
          <w:rFonts w:ascii="Times New Roman" w:cs="Times New Roman" w:eastAsia="Times New Roman" w:hAnsi="Times New Roman"/>
          <w:sz w:val="18"/>
          <w:szCs w:val="18"/>
          <w:color w:val="auto"/>
        </w:rPr>
        <w:t xml:space="preserve">As of July 26, 2022, we repurchased an additional 97,203 shares of common stock for $1.6 million subsequent to June 30, 2022. </w:t>
      </w:r>
      <w:r>
        <w:rPr>
          <w:rFonts w:ascii="Times New Roman" w:cs="Times New Roman" w:eastAsia="Times New Roman" w:hAnsi="Times New Roman"/>
          <w:sz w:val="18"/>
          <w:szCs w:val="18"/>
          <w:i w:val="1"/>
          <w:iCs w:val="1"/>
          <w:color w:val="auto"/>
        </w:rPr>
        <w:t>Debt Financing</w:t>
      </w: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On November 24, 2020, the Company entered into a credit agreement with a consortium of lenders providing for a $350.0 million senior revolving credit facility, under which revolving borrowings became available on the date of the completion of the separation and distribution transaction pursuant to which our former Aaron's Business segment was spun-off into a separate publicly-traded company, and under which all borrowings and commitments will mature or terminate on November 24, 2025.</w:t>
      </w:r>
    </w:p>
    <w:p>
      <w:pPr>
        <w:spacing w:after="0" w:line="5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As of June 30, 2022, the Company had no outstanding balance and $350.0 million remaining available for borrowings on the Revolving Facility. The Revolving Facility includes an uncommitted incremental facility increase option ("Incremental Facilities") which, subject to certain terms and conditions, permits the Company at any time prior to the maturity date to request an increase in extensions of credit available thereunder by an aggregate additional principal amount of up to $300.0 million.</w:t>
      </w:r>
    </w:p>
    <w:p>
      <w:pPr>
        <w:spacing w:after="0" w:line="4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Revolving Facility contains certain financial covenants, which include requirements that the Company maintain ratios of (i) total net debt to EBITDA of no more than 2.50:1.00 and (ii) consolidated interest coverage of no less than 3.00:1.00. The Company will be in default under the Revolving Facility if it fails to comply with these covenants, and all borrowings outstanding may become due immediately. Additionally, under the Revolving Facility, if the total net debt to EBITDA, as defined by the Revolving Facility, exceeds 1.25, the revolver becomes fully secured for the remaining duration of the Revolving Facility term. As of June 30, 2022, the Company exceeded the 1.25 total net debt to EBITDA ratio and the Revolving Facility became fully secured. At June 30, 2022, we were in compliance with the financial covenants set forth in the Revolving Facility and believe that we will continue to be in compliance in the future.</w:t>
      </w:r>
    </w:p>
    <w:p>
      <w:pPr>
        <w:spacing w:after="0" w:line="6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November 26, 2021, the Company entered into an indenture in connection with its offering of $600 million aggregate principal amount of its senior unsecured notes due 2029 (the "Senior Notes"). The Senior Notes were issued at 100.0% of their par value with a stated fixed annual interest rate of 6.00%. Interest accrues on the outstanding balance and is payable semi-annually. The Senior Notes are general unsecured obligations of the Company and are guaranteed by certain of the Company's existing and future domestic subsidiaries.</w:t>
      </w:r>
    </w:p>
    <w:p>
      <w:pPr>
        <w:spacing w:after="0" w:line="5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indenture discussed above contains various other covenants and obligations to which the Company and its subsidiaries are subject while the Senior Notes are outstanding. The covenants in the indenture may limit the extent to which, or the ability of the Company and its subsidiaries to, among other things: (i) incur additional debt and guarantee debt; (ii) pay dividends or make other distributions or repurchase or redeem capital stock; (iii) prepay, redeem or repurchase certain debt; (iv) issue certain preferred stock or similar equity securities; (v) make loans and investments; (vi) sell assets; (vii) incur liens; (viii) enter into transactions with affiliates; (ix) enter into agreements restricting the ability of the Company’s subsidiaries to pay dividends; and (x) consolidate, merge or sell all or substantially all of the Company’s assets. The indenture also contains customary events of default for transactions of this type and amount. We were in compliance with these covenants at June 30, 2022 and believe that we will continue to be in compliance in the future.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9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2022, we made net tax payments of $19.5 million. Within the next six months, we anticipate making estimated tax payments of $26.3 million for United States federal income taxes and state income taxes.</w:t>
      </w:r>
    </w:p>
    <w:p>
      <w:pPr>
        <w:spacing w:after="0" w:line="4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Deferred income tax liabilities as of June 30, 2022 were $145.6 million</w:t>
      </w:r>
      <w:r>
        <w:rPr>
          <w:rFonts w:ascii="Times New Roman" w:cs="Times New Roman" w:eastAsia="Times New Roman" w:hAnsi="Times New Roman"/>
          <w:sz w:val="18"/>
          <w:szCs w:val="18"/>
          <w:color w:val="EE2724"/>
        </w:rPr>
        <w:t>.</w:t>
      </w:r>
      <w:r>
        <w:rPr>
          <w:rFonts w:ascii="Times New Roman" w:cs="Times New Roman" w:eastAsia="Times New Roman" w:hAnsi="Times New Roman"/>
          <w:sz w:val="18"/>
          <w:szCs w:val="18"/>
          <w:color w:val="auto"/>
        </w:rPr>
        <w:t xml:space="preserve"> Deferred income tax liabilities are calculated based on temporary differences between the tax basis of assets and liabilities and their respective book basis, which will result in taxable amounts in future years when the liabilities are settled at their reported financial statement amounts. The results of these calculations do not have a direct connection with the amount of cash taxes to be paid in any future periods. As a result, scheduling deferred income tax liabilities as payments due by period could be misleading because this scheduling would not necessarily relate to liquidity needs.</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3" w:name="page34"/>
    <w:bookmarkEnd w:id="33"/>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0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lease management and information technology space for corporate functions as well as call center space and storage space for our hub facilities under operating leases expiring at various times through 2027. Our corporate and call center leases contain renewal options for additional periods ranging from three to five years. We also lease transportation vehicles under operating leases which generally expire during the next three years. We expect that most leases will be renewed or replaced by other leases in the normal course of business.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 and Commitments</w:t>
      </w:r>
    </w:p>
    <w:p>
      <w:pPr>
        <w:spacing w:after="0" w:line="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Future interest payments on the Company's variable-rate debt are based on a rate per annum equal to, at our option, (i) the London Interbank Overnight ("LIBO") rate plus a margin within the range of 1.5% to 2.5% for revolving loans, based on total leverage, or (ii) the administrative agent's base rate plus a margin ranging from 0.5% to 1.5%, as specified in the agreement. Future interest payments related to our Revolving Facility are based on the borrowings outstanding at that time. Future interest payments may be different depending on future borrowing activity and interest rates. The Company had no outstanding borrowings under the Revolving Facility as of June 30, 2022.</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November 26, 2021, the Company issued $600 million aggregate principal amount of Senior Notes that bear a fixed annual interest rate of 6.00%.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accrues on the outstanding balance and is payable semi-annually. The Senior Notes will mature on November 15, 2029.</w:t>
      </w:r>
    </w:p>
    <w:p>
      <w:pPr>
        <w:spacing w:after="0" w:line="8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has no long-term commitments to purchase merchandise nor does it have significant purchase agreements that specify minimum quantities or set prices that exceed our expected requirements for three months.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Unfunded Lending Commitments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through its Vive business, had unconditionally cancellable unfunded lending commitments totaling approximately $522.7 million and</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$467.6 million as of June 30, 2022 and December 31, 2021, respectively, that do not give rise to revenues and cash flows. These unfunded commitments arise in the ordinary course of business from credit card agreements with individual cardholders that give them the ability to borrow, against unused amounts, up to the maximum credit limit assigned to their account. While these unfunded amounts represented the total available unused lines of credit, the Company does not anticipate that all cardholders will utilize their entire available line at any given point in time. Commitments to extend unsecured credit are agreements to lend to a cardholder so long as there is no violation of any condition established in the contract. Commitments generally have fixed expiration dates or other termination clauses. Since many of the commitments are expected to expire without being drawn upon, the total commitment amounts do not necessarily represent future cash requirements.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the 2021 Annual Report.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08" w:lineRule="exact"/>
        <w:rPr>
          <w:sz w:val="20"/>
          <w:szCs w:val="20"/>
          <w:color w:val="auto"/>
        </w:rPr>
      </w:pPr>
    </w:p>
    <w:p>
      <w:pPr>
        <w:ind w:right="1060"/>
        <w:spacing w:after="0" w:line="282" w:lineRule="auto"/>
        <w:rPr>
          <w:sz w:val="20"/>
          <w:szCs w:val="20"/>
          <w:color w:val="auto"/>
        </w:rPr>
      </w:pPr>
      <w:r>
        <w:rPr>
          <w:rFonts w:ascii="Times New Roman" w:cs="Times New Roman" w:eastAsia="Times New Roman" w:hAnsi="Times New Roman"/>
          <w:sz w:val="18"/>
          <w:szCs w:val="18"/>
          <w:color w:val="auto"/>
        </w:rPr>
        <w:t>Refer to Note 1 to the condensed consolidated financial statements for a discussion of recently issued accounting pronouncements, including pronouncements that were adopted in the current year.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0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As of June 30, 2022, we had no outstanding borrowings under our Revolving Facility. Borrowings under the Revolving Facility are indexed to the LIBO rate or the prime rate, which exposes us to the risk of increased interest costs if interest rates rise. Based on the fact that the Company had no variable-rate debt outstanding as of June 30, 2022, a hypothetical 1.0% increase or decrease in interest rates would not affect interest expense.</w:t>
      </w:r>
    </w:p>
    <w:p>
      <w:pPr>
        <w:spacing w:after="0" w:line="54"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We do not use any significant market risk sensitive instruments to hedge commodity, foreign currency or other risks, and hold no market risk sensitive instruments for trading or speculative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4" w:name="page35"/>
    <w:bookmarkEnd w:id="34"/>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9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An evaluation of the Company’s disclosure controls and procedures, as defined in Rule 13a-15(e) under the Securities Exchange Act of 1934, as amended, was carried out by management, with the participation of the Chief Executive Officer ("CEO") and Chief Financial Officer ("CFO"), as of the end of the period covered by this Quarterly Report on Form 10-Q.</w:t>
      </w:r>
    </w:p>
    <w:p>
      <w:pPr>
        <w:spacing w:after="0" w:line="5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This evaluation is performed to determine if our disclosure controls and procedures are effective to provide reasonable assurance that information required to be disclosed by the Company in the reports that it files or submits under the Securities Exchange Act of 1934, as amended, is accumulated and communicated to management, including our CEO and CFO, as appropriate, to allow timely decisions regarding required disclosures and are effective to provide reasonable assurance that such information is recorded, processed, summarized and reported within the time periods specified by the SEC’s rules and forms. No system of controls, no matter how well designed and operated, can provide absolute assurance that the objectives of the system of controls are met, and no evaluation of controls can provide absolute assurance that the system of controls has operated effectively in all cases. Our disclosure controls and procedures, however, are designed to provide reasonable assurance that the objectives of disclosure controls and procedures are met.</w:t>
      </w:r>
    </w:p>
    <w:p>
      <w:pPr>
        <w:spacing w:after="0" w:line="6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Based on management’s evaluation, the CEO and CFO concluded that the Company’s disclosure controls and procedures were effective as of the date of the evaluation to provide reasonable assurance that the objectives of disclosure controls and procedures are met.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defined in Rule 13a-15(f) under the Securities Exchange Act of 1934, during the three and six months ended June 30, 2022 that have materially affected, or are reasonably likely to materially affect, the Company’s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5" w:name="page36"/>
    <w:bookmarkEnd w:id="35"/>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0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From time to time, we are party to various legal proceedings arising in the ordinary course of business. While any proceeding contains an element of uncertainty, we do not currently believe that any of the outstanding legal proceedings to which we are a party will have a material adverse impact on our business, financial position or results of operations. However, an adverse resolution of a number of these items may have a material adverse impact on our business, financial position or results of operations. For further information, see Note 4 in the accompanying condensed consolidated financial statements under the heading "Legal and Regulatory Proceedings," which discussion is incorporated by reference in response to this Item 1.</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have any updates to its risk factors disclosure from that previously reported in the 2021 Annual Report.</w:t>
      </w:r>
    </w:p>
    <w:p>
      <w:pPr>
        <w:spacing w:after="0" w:line="262" w:lineRule="exact"/>
        <w:rPr>
          <w:sz w:val="20"/>
          <w:szCs w:val="20"/>
          <w:color w:val="auto"/>
        </w:rPr>
      </w:pPr>
    </w:p>
    <w:p>
      <w:pPr>
        <w:ind w:right="3960"/>
        <w:spacing w:after="0" w:line="396" w:lineRule="auto"/>
        <w:rPr>
          <w:sz w:val="20"/>
          <w:szCs w:val="20"/>
          <w:color w:val="auto"/>
        </w:rPr>
      </w:pPr>
      <w:r>
        <w:rPr>
          <w:rFonts w:ascii="Times New Roman" w:cs="Times New Roman" w:eastAsia="Times New Roman" w:hAnsi="Times New Roman"/>
          <w:sz w:val="18"/>
          <w:szCs w:val="18"/>
          <w:b w:val="1"/>
          <w:bCs w:val="1"/>
          <w:color w:val="auto"/>
        </w:rPr>
        <w:t xml:space="preserve">ITEM 2. UNREGISTERED SALES OF EQUITY SECURITIES AND USE OF PROCEEDS </w:t>
      </w:r>
      <w:r>
        <w:rPr>
          <w:rFonts w:ascii="Times New Roman" w:cs="Times New Roman" w:eastAsia="Times New Roman" w:hAnsi="Times New Roman"/>
          <w:sz w:val="18"/>
          <w:szCs w:val="18"/>
          <w:color w:val="auto"/>
        </w:rPr>
        <w:t>The following table presents our share repurchase activity for the three months ended June 30, 2022:</w:t>
      </w:r>
    </w:p>
    <w:p>
      <w:pPr>
        <w:spacing w:after="0" w:line="2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60" w:type="dxa"/>
            <w:vAlign w:val="bottom"/>
          </w:tcPr>
          <w:p>
            <w:pPr>
              <w:spacing w:after="0"/>
              <w:rPr>
                <w:sz w:val="13"/>
                <w:szCs w:val="13"/>
                <w:color w:val="auto"/>
              </w:rPr>
            </w:pPr>
          </w:p>
        </w:tc>
        <w:tc>
          <w:tcPr>
            <w:tcW w:w="182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Maximum Dollar Value of</w:t>
            </w: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2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19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48"/>
        </w:trPr>
        <w:tc>
          <w:tcPr>
            <w:tcW w:w="3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400" w:type="dxa"/>
            <w:vAlign w:val="bottom"/>
            <w:vMerge w:val="continue"/>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19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 Plans or</w:t>
            </w:r>
          </w:p>
        </w:tc>
        <w:tc>
          <w:tcPr>
            <w:tcW w:w="0" w:type="dxa"/>
            <w:vAlign w:val="bottom"/>
          </w:tcPr>
          <w:p>
            <w:pPr>
              <w:spacing w:after="0"/>
              <w:rPr>
                <w:sz w:val="1"/>
                <w:szCs w:val="1"/>
                <w:color w:val="auto"/>
              </w:rPr>
            </w:pPr>
          </w:p>
        </w:tc>
      </w:tr>
      <w:tr>
        <w:trPr>
          <w:trHeight w:val="203"/>
        </w:trPr>
        <w:tc>
          <w:tcPr>
            <w:tcW w:w="3600" w:type="dxa"/>
            <w:vAlign w:val="bottom"/>
            <w:tcBorders>
              <w:bottom w:val="single" w:sz="8" w:color="auto"/>
            </w:tcBorders>
            <w:vMerge w:val="continue"/>
          </w:tcPr>
          <w:p>
            <w:pPr>
              <w:spacing w:after="0"/>
              <w:rPr>
                <w:sz w:val="17"/>
                <w:szCs w:val="17"/>
                <w:color w:val="auto"/>
              </w:rPr>
            </w:pPr>
          </w:p>
        </w:tc>
        <w:tc>
          <w:tcPr>
            <w:tcW w:w="240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Plans or Programs</w:t>
            </w:r>
          </w:p>
        </w:tc>
        <w:tc>
          <w:tcPr>
            <w:tcW w:w="1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center"/>
              <w:ind w:right="59"/>
              <w:spacing w:after="0" w:line="202" w:lineRule="exact"/>
              <w:rPr>
                <w:sz w:val="20"/>
                <w:szCs w:val="20"/>
                <w:color w:val="auto"/>
              </w:rPr>
            </w:pPr>
            <w:r>
              <w:rPr>
                <w:rFonts w:ascii="Times New Roman" w:cs="Times New Roman" w:eastAsia="Times New Roman" w:hAnsi="Times New Roman"/>
                <w:sz w:val="14"/>
                <w:szCs w:val="14"/>
                <w:b w:val="1"/>
                <w:bCs w:val="1"/>
                <w:color w:val="auto"/>
                <w:w w:val="99"/>
              </w:rPr>
              <w:t xml:space="preserve">Programs </w:t>
            </w:r>
            <w:r>
              <w:rPr>
                <w:rFonts w:ascii="Times New Roman" w:cs="Times New Roman" w:eastAsia="Times New Roman" w:hAnsi="Times New Roman"/>
                <w:sz w:val="18"/>
                <w:szCs w:val="18"/>
                <w:b w:val="1"/>
                <w:bCs w:val="1"/>
                <w:color w:val="auto"/>
                <w:w w:val="99"/>
                <w:vertAlign w:val="superscript"/>
              </w:rPr>
              <w:t>1</w:t>
            </w:r>
          </w:p>
        </w:tc>
        <w:tc>
          <w:tcPr>
            <w:tcW w:w="0" w:type="dxa"/>
            <w:vAlign w:val="bottom"/>
          </w:tcPr>
          <w:p>
            <w:pPr>
              <w:spacing w:after="0"/>
              <w:rPr>
                <w:sz w:val="1"/>
                <w:szCs w:val="1"/>
                <w:color w:val="auto"/>
              </w:rPr>
            </w:pPr>
          </w:p>
        </w:tc>
      </w:tr>
      <w:tr>
        <w:trPr>
          <w:trHeight w:val="223"/>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2022 through April 30, 2022</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749,540</w:t>
            </w:r>
          </w:p>
        </w:tc>
        <w:tc>
          <w:tcPr>
            <w:tcW w:w="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749,540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462,117,569</w:t>
            </w:r>
          </w:p>
        </w:tc>
        <w:tc>
          <w:tcPr>
            <w:tcW w:w="0" w:type="dxa"/>
            <w:vAlign w:val="bottom"/>
          </w:tcPr>
          <w:p>
            <w:pPr>
              <w:spacing w:after="0"/>
              <w:rPr>
                <w:sz w:val="1"/>
                <w:szCs w:val="1"/>
                <w:color w:val="auto"/>
              </w:rPr>
            </w:pPr>
          </w:p>
        </w:tc>
      </w:tr>
      <w:tr>
        <w:trPr>
          <w:trHeight w:val="229"/>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 2022 through May 31, 2022</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1,574,945</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27.32</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1,574,945</w:t>
            </w: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419,097,489</w:t>
            </w:r>
          </w:p>
        </w:tc>
        <w:tc>
          <w:tcPr>
            <w:tcW w:w="0" w:type="dxa"/>
            <w:vAlign w:val="bottom"/>
          </w:tcPr>
          <w:p>
            <w:pPr>
              <w:spacing w:after="0"/>
              <w:rPr>
                <w:sz w:val="1"/>
                <w:szCs w:val="1"/>
                <w:color w:val="auto"/>
              </w:rPr>
            </w:pPr>
          </w:p>
        </w:tc>
      </w:tr>
      <w:tr>
        <w:trPr>
          <w:trHeight w:val="229"/>
        </w:trPr>
        <w:tc>
          <w:tcPr>
            <w:tcW w:w="3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 2022 through June 30, 2022</w:t>
            </w:r>
          </w:p>
        </w:tc>
        <w:tc>
          <w:tcPr>
            <w:tcW w:w="2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1,575,000</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1,575,000</w:t>
            </w:r>
          </w:p>
        </w:tc>
        <w:tc>
          <w:tcPr>
            <w:tcW w:w="16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384,399,429</w:t>
            </w:r>
          </w:p>
        </w:tc>
        <w:tc>
          <w:tcPr>
            <w:tcW w:w="0" w:type="dxa"/>
            <w:vAlign w:val="bottom"/>
          </w:tcPr>
          <w:p>
            <w:pPr>
              <w:spacing w:after="0"/>
              <w:rPr>
                <w:sz w:val="1"/>
                <w:szCs w:val="1"/>
                <w:color w:val="auto"/>
              </w:rPr>
            </w:pPr>
          </w:p>
        </w:tc>
      </w:tr>
      <w:tr>
        <w:trPr>
          <w:trHeight w:val="223"/>
        </w:trPr>
        <w:tc>
          <w:tcPr>
            <w:tcW w:w="3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3,899,485</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3,899,485</w:t>
            </w:r>
          </w:p>
        </w:tc>
        <w:tc>
          <w:tcPr>
            <w:tcW w:w="1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80" w:right="40" w:hanging="72"/>
        <w:spacing w:after="0" w:line="281" w:lineRule="auto"/>
        <w:tabs>
          <w:tab w:leader="none" w:pos="69" w:val="left"/>
        </w:tabs>
        <w:numPr>
          <w:ilvl w:val="0"/>
          <w:numId w:val="2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Share repurchases are conducted under authorizations made from time to time by the Company’s Board of Directors. The authorization effective November 3, 2021, provided the Company with the ability to repurchase shares up to a maximum amount of $1 billion. Subject to the terms of the Board's authorization and applicable law, repurchases may be made at such times and in such amounts as the Company deems appropriate. Repurchases may be discontinued at any time.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6" w:name="page37"/>
    <w:bookmarkEnd w:id="36"/>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94"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980" w:type="dxa"/>
            <w:vAlign w:val="bottom"/>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00" w:type="dxa"/>
            <w:vAlign w:val="bottom"/>
          </w:tcPr>
          <w:p>
            <w:pPr>
              <w:spacing w:after="0"/>
              <w:rPr>
                <w:sz w:val="13"/>
                <w:szCs w:val="13"/>
                <w:color w:val="auto"/>
              </w:rPr>
            </w:pPr>
          </w:p>
        </w:tc>
        <w:tc>
          <w:tcPr>
            <w:tcW w:w="9640" w:type="dxa"/>
            <w:vAlign w:val="bottom"/>
            <w:gridSpan w:val="4"/>
            <w:vMerge w:val="restart"/>
          </w:tcPr>
          <w:p>
            <w:pPr>
              <w:ind w:left="368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90"/>
        </w:trPr>
        <w:tc>
          <w:tcPr>
            <w:tcW w:w="980" w:type="dxa"/>
            <w:vAlign w:val="bottom"/>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w w:val="97"/>
              </w:rPr>
              <w:t>NO.</w:t>
            </w:r>
          </w:p>
        </w:tc>
        <w:tc>
          <w:tcPr>
            <w:tcW w:w="400" w:type="dxa"/>
            <w:vAlign w:val="bottom"/>
          </w:tcPr>
          <w:p>
            <w:pPr>
              <w:spacing w:after="0"/>
              <w:rPr>
                <w:sz w:val="16"/>
                <w:szCs w:val="16"/>
                <w:color w:val="auto"/>
              </w:rPr>
            </w:pPr>
          </w:p>
        </w:tc>
        <w:tc>
          <w:tcPr>
            <w:tcW w:w="964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980" w:type="dxa"/>
            <w:vAlign w:val="bottom"/>
          </w:tcPr>
          <w:p>
            <w:pPr>
              <w:jc w:val="center"/>
              <w:ind w:right="213"/>
              <w:spacing w:after="0"/>
              <w:rPr>
                <w:sz w:val="20"/>
                <w:szCs w:val="20"/>
                <w:color w:val="auto"/>
              </w:rPr>
            </w:pPr>
            <w:r>
              <w:rPr>
                <w:rFonts w:ascii="Times New Roman" w:cs="Times New Roman" w:eastAsia="Times New Roman" w:hAnsi="Times New Roman"/>
                <w:sz w:val="18"/>
                <w:szCs w:val="18"/>
                <w:color w:val="auto"/>
                <w:w w:val="98"/>
              </w:rPr>
              <w:t>31.1*</w:t>
            </w:r>
          </w:p>
        </w:tc>
        <w:tc>
          <w:tcPr>
            <w:tcW w:w="100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Rule 13a-14(a) and Rule 15d-14(a) of the Securities Exchange Act, as amended.</w:t>
            </w:r>
          </w:p>
        </w:tc>
        <w:tc>
          <w:tcPr>
            <w:tcW w:w="0" w:type="dxa"/>
            <w:vAlign w:val="bottom"/>
          </w:tcPr>
          <w:p>
            <w:pPr>
              <w:spacing w:after="0"/>
              <w:rPr>
                <w:sz w:val="1"/>
                <w:szCs w:val="1"/>
                <w:color w:val="auto"/>
              </w:rPr>
            </w:pPr>
          </w:p>
        </w:tc>
      </w:tr>
      <w:tr>
        <w:trPr>
          <w:trHeight w:val="263"/>
        </w:trPr>
        <w:tc>
          <w:tcPr>
            <w:tcW w:w="980" w:type="dxa"/>
            <w:vAlign w:val="bottom"/>
          </w:tcPr>
          <w:p>
            <w:pPr>
              <w:jc w:val="center"/>
              <w:ind w:right="213"/>
              <w:spacing w:after="0"/>
              <w:rPr>
                <w:sz w:val="20"/>
                <w:szCs w:val="20"/>
                <w:color w:val="auto"/>
              </w:rPr>
            </w:pPr>
            <w:r>
              <w:rPr>
                <w:rFonts w:ascii="Times New Roman" w:cs="Times New Roman" w:eastAsia="Times New Roman" w:hAnsi="Times New Roman"/>
                <w:sz w:val="18"/>
                <w:szCs w:val="18"/>
                <w:color w:val="auto"/>
                <w:w w:val="98"/>
              </w:rPr>
              <w:t>31.2*</w:t>
            </w:r>
          </w:p>
        </w:tc>
        <w:tc>
          <w:tcPr>
            <w:tcW w:w="95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Rule 13a-14(a) and Rule 15d-14(a) of the Securities Exchange Act, as amended.</w:t>
            </w:r>
          </w:p>
        </w:tc>
        <w:tc>
          <w:tcPr>
            <w:tcW w:w="40" w:type="dxa"/>
            <w:vAlign w:val="bottom"/>
            <w:tcBorders>
              <w:top w:val="single" w:sz="8" w:color="0000FF"/>
            </w:tcBorders>
          </w:tcPr>
          <w:p>
            <w:pPr>
              <w:spacing w:after="0"/>
              <w:rPr>
                <w:sz w:val="22"/>
                <w:szCs w:val="22"/>
                <w:color w:val="auto"/>
              </w:rPr>
            </w:pPr>
          </w:p>
        </w:tc>
        <w:tc>
          <w:tcPr>
            <w:tcW w:w="5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980" w:type="dxa"/>
            <w:vAlign w:val="bottom"/>
          </w:tcPr>
          <w:p>
            <w:pPr>
              <w:jc w:val="center"/>
              <w:ind w:right="213"/>
              <w:spacing w:after="0"/>
              <w:rPr>
                <w:sz w:val="20"/>
                <w:szCs w:val="20"/>
                <w:color w:val="auto"/>
              </w:rPr>
            </w:pPr>
            <w:r>
              <w:rPr>
                <w:rFonts w:ascii="Times New Roman" w:cs="Times New Roman" w:eastAsia="Times New Roman" w:hAnsi="Times New Roman"/>
                <w:sz w:val="18"/>
                <w:szCs w:val="18"/>
                <w:color w:val="auto"/>
                <w:w w:val="98"/>
              </w:rPr>
              <w:t>32.1*</w:t>
            </w:r>
          </w:p>
        </w:tc>
        <w:tc>
          <w:tcPr>
            <w:tcW w:w="100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 1350, as adopted pursuant to Section 906 of the Sarbanes-Oxley Act of</w:t>
            </w: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3"/>
              </w:rPr>
              <w:t>2002.</w:t>
            </w:r>
          </w:p>
        </w:tc>
        <w:tc>
          <w:tcPr>
            <w:tcW w:w="9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980" w:type="dxa"/>
            <w:vAlign w:val="bottom"/>
          </w:tcPr>
          <w:p>
            <w:pPr>
              <w:jc w:val="center"/>
              <w:ind w:right="213"/>
              <w:spacing w:after="0"/>
              <w:rPr>
                <w:sz w:val="20"/>
                <w:szCs w:val="20"/>
                <w:color w:val="auto"/>
              </w:rPr>
            </w:pPr>
            <w:r>
              <w:rPr>
                <w:rFonts w:ascii="Times New Roman" w:cs="Times New Roman" w:eastAsia="Times New Roman" w:hAnsi="Times New Roman"/>
                <w:sz w:val="18"/>
                <w:szCs w:val="18"/>
                <w:color w:val="auto"/>
                <w:w w:val="98"/>
              </w:rPr>
              <w:t>32.2*</w:t>
            </w:r>
          </w:p>
        </w:tc>
        <w:tc>
          <w:tcPr>
            <w:tcW w:w="100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18 U.S.C. 1350, as adopted pursuant to Section 906 of the Sarbanes-Oxley Act of 2002.</w:t>
            </w:r>
          </w:p>
        </w:tc>
        <w:tc>
          <w:tcPr>
            <w:tcW w:w="0" w:type="dxa"/>
            <w:vAlign w:val="bottom"/>
          </w:tcPr>
          <w:p>
            <w:pPr>
              <w:spacing w:after="0"/>
              <w:rPr>
                <w:sz w:val="1"/>
                <w:szCs w:val="1"/>
                <w:color w:val="auto"/>
              </w:rPr>
            </w:pPr>
          </w:p>
        </w:tc>
      </w:tr>
      <w:tr>
        <w:trPr>
          <w:trHeight w:val="250"/>
        </w:trPr>
        <w:tc>
          <w:tcPr>
            <w:tcW w:w="980" w:type="dxa"/>
            <w:vAlign w:val="bottom"/>
          </w:tcPr>
          <w:p>
            <w:pPr>
              <w:jc w:val="center"/>
              <w:ind w:right="213"/>
              <w:spacing w:after="0"/>
              <w:rPr>
                <w:sz w:val="20"/>
                <w:szCs w:val="20"/>
                <w:color w:val="auto"/>
              </w:rPr>
            </w:pPr>
            <w:r>
              <w:rPr>
                <w:rFonts w:ascii="Times New Roman" w:cs="Times New Roman" w:eastAsia="Times New Roman" w:hAnsi="Times New Roman"/>
                <w:sz w:val="18"/>
                <w:szCs w:val="18"/>
                <w:color w:val="auto"/>
                <w:w w:val="99"/>
              </w:rPr>
              <w:t>101.INS</w:t>
            </w:r>
          </w:p>
        </w:tc>
        <w:tc>
          <w:tcPr>
            <w:tcW w:w="1004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XBRL Instance Document - The instance document does not appear in the interactive data file because its XBRL tags are embedded within</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10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inline XBRL document.</w:t>
            </w:r>
          </w:p>
        </w:tc>
        <w:tc>
          <w:tcPr>
            <w:tcW w:w="0" w:type="dxa"/>
            <w:vAlign w:val="bottom"/>
          </w:tcPr>
          <w:p>
            <w:pPr>
              <w:spacing w:after="0"/>
              <w:rPr>
                <w:sz w:val="1"/>
                <w:szCs w:val="1"/>
                <w:color w:val="auto"/>
              </w:rPr>
            </w:pPr>
          </w:p>
        </w:tc>
      </w:tr>
      <w:tr>
        <w:trPr>
          <w:trHeight w:val="292"/>
        </w:trPr>
        <w:tc>
          <w:tcPr>
            <w:tcW w:w="980" w:type="dxa"/>
            <w:vAlign w:val="bottom"/>
          </w:tcPr>
          <w:p>
            <w:pPr>
              <w:jc w:val="center"/>
              <w:ind w:right="213"/>
              <w:spacing w:after="0"/>
              <w:rPr>
                <w:sz w:val="20"/>
                <w:szCs w:val="20"/>
                <w:color w:val="auto"/>
              </w:rPr>
            </w:pPr>
            <w:r>
              <w:rPr>
                <w:rFonts w:ascii="Times New Roman" w:cs="Times New Roman" w:eastAsia="Times New Roman" w:hAnsi="Times New Roman"/>
                <w:sz w:val="18"/>
                <w:szCs w:val="18"/>
                <w:color w:val="auto"/>
              </w:rPr>
              <w:t>101.SCH</w:t>
            </w:r>
          </w:p>
        </w:tc>
        <w:tc>
          <w:tcPr>
            <w:tcW w:w="10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283"/>
        </w:trPr>
        <w:tc>
          <w:tcPr>
            <w:tcW w:w="980" w:type="dxa"/>
            <w:vAlign w:val="bottom"/>
          </w:tcPr>
          <w:p>
            <w:pPr>
              <w:jc w:val="center"/>
              <w:ind w:right="213"/>
              <w:spacing w:after="0"/>
              <w:rPr>
                <w:sz w:val="20"/>
                <w:szCs w:val="20"/>
                <w:color w:val="auto"/>
              </w:rPr>
            </w:pPr>
            <w:r>
              <w:rPr>
                <w:rFonts w:ascii="Times New Roman" w:cs="Times New Roman" w:eastAsia="Times New Roman" w:hAnsi="Times New Roman"/>
                <w:sz w:val="18"/>
                <w:szCs w:val="18"/>
                <w:color w:val="auto"/>
              </w:rPr>
              <w:t>101.CAL</w:t>
            </w:r>
          </w:p>
        </w:tc>
        <w:tc>
          <w:tcPr>
            <w:tcW w:w="10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83"/>
        </w:trPr>
        <w:tc>
          <w:tcPr>
            <w:tcW w:w="980" w:type="dxa"/>
            <w:vAlign w:val="bottom"/>
          </w:tcPr>
          <w:p>
            <w:pPr>
              <w:jc w:val="center"/>
              <w:ind w:right="213"/>
              <w:spacing w:after="0"/>
              <w:rPr>
                <w:sz w:val="20"/>
                <w:szCs w:val="20"/>
                <w:color w:val="auto"/>
              </w:rPr>
            </w:pPr>
            <w:r>
              <w:rPr>
                <w:rFonts w:ascii="Times New Roman" w:cs="Times New Roman" w:eastAsia="Times New Roman" w:hAnsi="Times New Roman"/>
                <w:sz w:val="18"/>
                <w:szCs w:val="18"/>
                <w:color w:val="auto"/>
                <w:w w:val="97"/>
              </w:rPr>
              <w:t>101.DEF</w:t>
            </w:r>
          </w:p>
        </w:tc>
        <w:tc>
          <w:tcPr>
            <w:tcW w:w="10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83"/>
        </w:trPr>
        <w:tc>
          <w:tcPr>
            <w:tcW w:w="980" w:type="dxa"/>
            <w:vAlign w:val="bottom"/>
          </w:tcPr>
          <w:p>
            <w:pPr>
              <w:jc w:val="center"/>
              <w:ind w:right="213"/>
              <w:spacing w:after="0"/>
              <w:rPr>
                <w:sz w:val="20"/>
                <w:szCs w:val="20"/>
                <w:color w:val="auto"/>
              </w:rPr>
            </w:pPr>
            <w:r>
              <w:rPr>
                <w:rFonts w:ascii="Times New Roman" w:cs="Times New Roman" w:eastAsia="Times New Roman" w:hAnsi="Times New Roman"/>
                <w:sz w:val="18"/>
                <w:szCs w:val="18"/>
                <w:color w:val="auto"/>
              </w:rPr>
              <w:t>101.LAB</w:t>
            </w:r>
          </w:p>
        </w:tc>
        <w:tc>
          <w:tcPr>
            <w:tcW w:w="10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Labels Linkbase Document</w:t>
            </w:r>
          </w:p>
        </w:tc>
        <w:tc>
          <w:tcPr>
            <w:tcW w:w="0" w:type="dxa"/>
            <w:vAlign w:val="bottom"/>
          </w:tcPr>
          <w:p>
            <w:pPr>
              <w:spacing w:after="0"/>
              <w:rPr>
                <w:sz w:val="1"/>
                <w:szCs w:val="1"/>
                <w:color w:val="auto"/>
              </w:rPr>
            </w:pPr>
          </w:p>
        </w:tc>
      </w:tr>
      <w:tr>
        <w:trPr>
          <w:trHeight w:val="283"/>
        </w:trPr>
        <w:tc>
          <w:tcPr>
            <w:tcW w:w="980" w:type="dxa"/>
            <w:vAlign w:val="bottom"/>
          </w:tcPr>
          <w:p>
            <w:pPr>
              <w:jc w:val="center"/>
              <w:ind w:right="213"/>
              <w:spacing w:after="0"/>
              <w:rPr>
                <w:sz w:val="20"/>
                <w:szCs w:val="20"/>
                <w:color w:val="auto"/>
              </w:rPr>
            </w:pPr>
            <w:r>
              <w:rPr>
                <w:rFonts w:ascii="Times New Roman" w:cs="Times New Roman" w:eastAsia="Times New Roman" w:hAnsi="Times New Roman"/>
                <w:sz w:val="18"/>
                <w:szCs w:val="18"/>
                <w:color w:val="auto"/>
                <w:w w:val="99"/>
              </w:rPr>
              <w:t>101.PRE</w:t>
            </w:r>
          </w:p>
        </w:tc>
        <w:tc>
          <w:tcPr>
            <w:tcW w:w="10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160" w:right="420" w:hanging="774"/>
        <w:spacing w:after="0" w:line="237" w:lineRule="auto"/>
        <w:tabs>
          <w:tab w:leader="none" w:pos="11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this Quarterly Report on Form 10-Q for the quarter ended June 30, 2022, formatted in Inline XBRL (included in Exhibit 101)</w:t>
      </w:r>
    </w:p>
    <w:p>
      <w:pPr>
        <w:spacing w:after="0" w:line="6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7" w:name="page38"/>
    <w:bookmarkEnd w:id="37"/>
    <w:p>
      <w:pPr>
        <w:spacing w:after="0" w:line="14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56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614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PROG Holdings, Inc.</w:t>
            </w:r>
          </w:p>
        </w:tc>
      </w:tr>
      <w:tr>
        <w:trPr>
          <w:trHeight w:val="234"/>
        </w:trPr>
        <w:tc>
          <w:tcPr>
            <w:tcW w:w="5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(Registrant)</w:t>
            </w:r>
          </w:p>
        </w:tc>
      </w:tr>
      <w:tr>
        <w:trPr>
          <w:trHeight w:val="283"/>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July 27, 2022</w:t>
            </w:r>
          </w:p>
        </w:tc>
        <w:tc>
          <w:tcPr>
            <w:tcW w:w="258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3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GARNER</w:t>
            </w:r>
          </w:p>
        </w:tc>
      </w:tr>
      <w:tr>
        <w:trPr>
          <w:trHeight w:val="218"/>
        </w:trPr>
        <w:tc>
          <w:tcPr>
            <w:tcW w:w="5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Brian Garner</w:t>
            </w:r>
          </w:p>
        </w:tc>
      </w:tr>
      <w:tr>
        <w:trPr>
          <w:trHeight w:val="230"/>
        </w:trPr>
        <w:tc>
          <w:tcPr>
            <w:tcW w:w="56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76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July 27, 2022</w:t>
            </w:r>
          </w:p>
        </w:tc>
        <w:tc>
          <w:tcPr>
            <w:tcW w:w="258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3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 SEWELL</w:t>
            </w:r>
          </w:p>
        </w:tc>
      </w:tr>
      <w:tr>
        <w:trPr>
          <w:trHeight w:val="218"/>
        </w:trPr>
        <w:tc>
          <w:tcPr>
            <w:tcW w:w="5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Matt Sewell</w:t>
            </w:r>
          </w:p>
        </w:tc>
      </w:tr>
      <w:tr>
        <w:trPr>
          <w:trHeight w:val="229"/>
        </w:trPr>
        <w:tc>
          <w:tcPr>
            <w:tcW w:w="56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Financial Reporting</w:t>
            </w:r>
          </w:p>
        </w:tc>
      </w:tr>
      <w:tr>
        <w:trPr>
          <w:trHeight w:val="234"/>
        </w:trPr>
        <w:tc>
          <w:tcPr>
            <w:tcW w:w="5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891"/>
        </w:trPr>
        <w:tc>
          <w:tcPr>
            <w:tcW w:w="5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38</w:t>
            </w:r>
          </w:p>
        </w:tc>
        <w:tc>
          <w:tcPr>
            <w:tcW w:w="3560" w:type="dxa"/>
            <w:vAlign w:val="bottom"/>
          </w:tcPr>
          <w:p>
            <w:pPr>
              <w:spacing w:after="0"/>
              <w:rPr>
                <w:sz w:val="24"/>
                <w:szCs w:val="24"/>
                <w:color w:val="auto"/>
              </w:rPr>
            </w:pPr>
          </w:p>
        </w:tc>
      </w:tr>
    </w:tbl>
    <w:p>
      <w:pPr>
        <w:sectPr>
          <w:pgSz w:w="11900" w:h="16838" w:orient="portrait"/>
          <w:cols w:equalWidth="0" w:num="1">
            <w:col w:w="10780"/>
          </w:cols>
          <w:pgMar w:left="320" w:top="1440" w:right="79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13a-14(a)/15d-14(a)</w:t>
      </w:r>
    </w:p>
    <w:p>
      <w:pPr>
        <w:spacing w:after="0" w:line="3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Steven A. Michaels, certify that:</w:t>
      </w:r>
    </w:p>
    <w:p>
      <w:pPr>
        <w:spacing w:after="0" w:line="77" w:lineRule="exact"/>
        <w:rPr>
          <w:sz w:val="20"/>
          <w:szCs w:val="20"/>
          <w:color w:val="auto"/>
        </w:rPr>
      </w:pPr>
    </w:p>
    <w:p>
      <w:pPr>
        <w:ind w:left="440" w:hanging="414"/>
        <w:spacing w:after="0"/>
        <w:tabs>
          <w:tab w:leader="none" w:pos="4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PROG Holdings, Inc.;</w:t>
      </w:r>
    </w:p>
    <w:p>
      <w:pPr>
        <w:spacing w:after="0" w:line="76" w:lineRule="exact"/>
        <w:rPr>
          <w:rFonts w:ascii="Times New Roman" w:cs="Times New Roman" w:eastAsia="Times New Roman" w:hAnsi="Times New Roman"/>
          <w:sz w:val="18"/>
          <w:szCs w:val="18"/>
          <w:color w:val="auto"/>
        </w:rPr>
      </w:pPr>
    </w:p>
    <w:p>
      <w:pPr>
        <w:jc w:val="both"/>
        <w:ind w:left="440" w:right="1160" w:hanging="414"/>
        <w:spacing w:after="0" w:line="226" w:lineRule="auto"/>
        <w:tabs>
          <w:tab w:leader="none" w:pos="4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3" w:lineRule="exact"/>
        <w:rPr>
          <w:rFonts w:ascii="Times New Roman" w:cs="Times New Roman" w:eastAsia="Times New Roman" w:hAnsi="Times New Roman"/>
          <w:sz w:val="18"/>
          <w:szCs w:val="18"/>
          <w:color w:val="auto"/>
        </w:rPr>
      </w:pPr>
    </w:p>
    <w:p>
      <w:pPr>
        <w:ind w:left="440" w:right="1240" w:hanging="414"/>
        <w:spacing w:after="0" w:line="226" w:lineRule="auto"/>
        <w:tabs>
          <w:tab w:leader="none" w:pos="4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3" w:lineRule="exact"/>
        <w:rPr>
          <w:rFonts w:ascii="Times New Roman" w:cs="Times New Roman" w:eastAsia="Times New Roman" w:hAnsi="Times New Roman"/>
          <w:sz w:val="18"/>
          <w:szCs w:val="18"/>
          <w:color w:val="auto"/>
        </w:rPr>
      </w:pPr>
    </w:p>
    <w:p>
      <w:pPr>
        <w:jc w:val="both"/>
        <w:ind w:left="440" w:right="1300" w:hanging="414"/>
        <w:spacing w:after="0" w:line="226" w:lineRule="auto"/>
        <w:tabs>
          <w:tab w:leader="none" w:pos="4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3" w:lineRule="exact"/>
        <w:rPr>
          <w:rFonts w:ascii="Times New Roman" w:cs="Times New Roman" w:eastAsia="Times New Roman" w:hAnsi="Times New Roman"/>
          <w:sz w:val="18"/>
          <w:szCs w:val="18"/>
          <w:color w:val="auto"/>
        </w:rPr>
      </w:pPr>
    </w:p>
    <w:p>
      <w:pPr>
        <w:ind w:left="900" w:right="1200" w:hanging="469"/>
        <w:spacing w:after="0" w:line="224" w:lineRule="auto"/>
        <w:tabs>
          <w:tab w:leader="none" w:pos="9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50" w:lineRule="exact"/>
        <w:rPr>
          <w:rFonts w:ascii="Times New Roman" w:cs="Times New Roman" w:eastAsia="Times New Roman" w:hAnsi="Times New Roman"/>
          <w:sz w:val="18"/>
          <w:szCs w:val="18"/>
          <w:color w:val="auto"/>
        </w:rPr>
      </w:pPr>
    </w:p>
    <w:p>
      <w:pPr>
        <w:ind w:left="900" w:right="1220" w:hanging="469"/>
        <w:spacing w:after="0" w:line="224" w:lineRule="auto"/>
        <w:tabs>
          <w:tab w:leader="none" w:pos="9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50" w:lineRule="exact"/>
        <w:rPr>
          <w:rFonts w:ascii="Times New Roman" w:cs="Times New Roman" w:eastAsia="Times New Roman" w:hAnsi="Times New Roman"/>
          <w:sz w:val="18"/>
          <w:szCs w:val="18"/>
          <w:color w:val="auto"/>
        </w:rPr>
      </w:pPr>
    </w:p>
    <w:p>
      <w:pPr>
        <w:ind w:left="900" w:right="1140" w:hanging="469"/>
        <w:spacing w:after="0" w:line="226" w:lineRule="auto"/>
        <w:tabs>
          <w:tab w:leader="none" w:pos="9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63" w:lineRule="exact"/>
        <w:rPr>
          <w:rFonts w:ascii="Times New Roman" w:cs="Times New Roman" w:eastAsia="Times New Roman" w:hAnsi="Times New Roman"/>
          <w:sz w:val="18"/>
          <w:szCs w:val="18"/>
          <w:color w:val="auto"/>
        </w:rPr>
      </w:pPr>
    </w:p>
    <w:p>
      <w:pPr>
        <w:ind w:left="900" w:right="1140" w:hanging="469"/>
        <w:spacing w:after="0" w:line="226" w:lineRule="auto"/>
        <w:tabs>
          <w:tab w:leader="none" w:pos="9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63" w:lineRule="exact"/>
        <w:rPr>
          <w:rFonts w:ascii="Times New Roman" w:cs="Times New Roman" w:eastAsia="Times New Roman" w:hAnsi="Times New Roman"/>
          <w:sz w:val="18"/>
          <w:szCs w:val="18"/>
          <w:color w:val="auto"/>
        </w:rPr>
      </w:pPr>
    </w:p>
    <w:p>
      <w:pPr>
        <w:ind w:left="440" w:right="1360" w:hanging="414"/>
        <w:spacing w:after="0" w:line="226" w:lineRule="auto"/>
        <w:tabs>
          <w:tab w:leader="none" w:pos="4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63" w:lineRule="exact"/>
        <w:rPr>
          <w:rFonts w:ascii="Times New Roman" w:cs="Times New Roman" w:eastAsia="Times New Roman" w:hAnsi="Times New Roman"/>
          <w:sz w:val="18"/>
          <w:szCs w:val="18"/>
          <w:color w:val="auto"/>
        </w:rPr>
      </w:pPr>
    </w:p>
    <w:p>
      <w:pPr>
        <w:ind w:left="1020" w:right="1420" w:hanging="589"/>
        <w:spacing w:after="0" w:line="226" w:lineRule="auto"/>
        <w:tabs>
          <w:tab w:leader="none" w:pos="10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3" w:lineRule="exact"/>
        <w:rPr>
          <w:rFonts w:ascii="Times New Roman" w:cs="Times New Roman" w:eastAsia="Times New Roman" w:hAnsi="Times New Roman"/>
          <w:sz w:val="18"/>
          <w:szCs w:val="18"/>
          <w:color w:val="auto"/>
        </w:rPr>
      </w:pPr>
    </w:p>
    <w:p>
      <w:pPr>
        <w:ind w:left="1020" w:right="1200" w:hanging="589"/>
        <w:spacing w:after="0" w:line="237" w:lineRule="auto"/>
        <w:tabs>
          <w:tab w:leader="none" w:pos="10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6" w:lineRule="exact"/>
        <w:rPr>
          <w:sz w:val="20"/>
          <w:szCs w:val="20"/>
          <w:color w:val="auto"/>
        </w:rPr>
      </w:pPr>
    </w:p>
    <w:p>
      <w:pPr>
        <w:ind w:left="520"/>
        <w:spacing w:after="0"/>
        <w:tabs>
          <w:tab w:leader="none" w:pos="1040" w:val="left"/>
          <w:tab w:leader="none" w:pos="5520" w:val="left"/>
        </w:tabs>
        <w:rPr>
          <w:sz w:val="20"/>
          <w:szCs w:val="20"/>
          <w:color w:val="auto"/>
        </w:rPr>
      </w:pPr>
      <w:r>
        <w:rPr>
          <w:rFonts w:ascii="Times New Roman" w:cs="Times New Roman" w:eastAsia="Times New Roman" w:hAnsi="Times New Roman"/>
          <w:sz w:val="18"/>
          <w:szCs w:val="18"/>
          <w:color w:val="auto"/>
        </w:rPr>
        <w:t>Date:</w:t>
        <w:tab/>
        <w:t>July 27, 2022</w:t>
      </w:r>
      <w:r>
        <w:rPr>
          <w:sz w:val="20"/>
          <w:szCs w:val="20"/>
          <w:color w:val="auto"/>
        </w:rPr>
        <w:tab/>
      </w:r>
      <w:r>
        <w:rPr>
          <w:rFonts w:ascii="Times New Roman" w:cs="Times New Roman" w:eastAsia="Times New Roman" w:hAnsi="Times New Roman"/>
          <w:sz w:val="18"/>
          <w:szCs w:val="18"/>
          <w:color w:val="auto"/>
        </w:rPr>
        <w:t>/s/ Steven A. Michaels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3511550</wp:posOffset>
            </wp:positionH>
            <wp:positionV relativeFrom="paragraph">
              <wp:posOffset>17145</wp:posOffset>
            </wp:positionV>
            <wp:extent cx="189420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894205" cy="8890"/>
                    </a:xfrm>
                    <a:prstGeom prst="rect">
                      <a:avLst/>
                    </a:prstGeom>
                    <a:noFill/>
                  </pic:spPr>
                </pic:pic>
              </a:graphicData>
            </a:graphic>
          </wp:anchor>
        </w:drawing>
      </w:r>
    </w:p>
    <w:p>
      <w:pPr>
        <w:spacing w:after="0" w:line="4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Steven A. Michaels</w:t>
      </w:r>
    </w:p>
    <w:p>
      <w:pPr>
        <w:spacing w:after="0" w:line="6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0120"/>
          </w:cols>
          <w:pgMar w:left="1440" w:top="927"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ind w:left="2182"/>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13a-14(a)/15d-14(a)</w:t>
      </w:r>
    </w:p>
    <w:p>
      <w:pPr>
        <w:spacing w:after="0" w:line="310" w:lineRule="exact"/>
        <w:rPr>
          <w:sz w:val="20"/>
          <w:szCs w:val="20"/>
          <w:color w:val="auto"/>
        </w:rPr>
      </w:pPr>
    </w:p>
    <w:p>
      <w:pPr>
        <w:ind w:left="402"/>
        <w:spacing w:after="0"/>
        <w:rPr>
          <w:sz w:val="20"/>
          <w:szCs w:val="20"/>
          <w:color w:val="auto"/>
        </w:rPr>
      </w:pPr>
      <w:r>
        <w:rPr>
          <w:rFonts w:ascii="Times New Roman" w:cs="Times New Roman" w:eastAsia="Times New Roman" w:hAnsi="Times New Roman"/>
          <w:sz w:val="18"/>
          <w:szCs w:val="18"/>
          <w:color w:val="auto"/>
        </w:rPr>
        <w:t>I, Brian Garner, certify that:</w:t>
      </w:r>
    </w:p>
    <w:p>
      <w:pPr>
        <w:spacing w:after="0" w:line="77" w:lineRule="exact"/>
        <w:rPr>
          <w:sz w:val="20"/>
          <w:szCs w:val="20"/>
          <w:color w:val="auto"/>
        </w:rPr>
      </w:pPr>
    </w:p>
    <w:p>
      <w:pPr>
        <w:ind w:left="402" w:hanging="402"/>
        <w:spacing w:after="0"/>
        <w:tabs>
          <w:tab w:leader="none" w:pos="40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PROG Holdings, Inc.;</w:t>
      </w:r>
    </w:p>
    <w:p>
      <w:pPr>
        <w:spacing w:after="0" w:line="76" w:lineRule="exact"/>
        <w:rPr>
          <w:rFonts w:ascii="Times New Roman" w:cs="Times New Roman" w:eastAsia="Times New Roman" w:hAnsi="Times New Roman"/>
          <w:sz w:val="18"/>
          <w:szCs w:val="18"/>
          <w:color w:val="auto"/>
        </w:rPr>
      </w:pPr>
    </w:p>
    <w:p>
      <w:pPr>
        <w:jc w:val="both"/>
        <w:ind w:left="402" w:right="1280" w:hanging="402"/>
        <w:spacing w:after="0" w:line="226" w:lineRule="auto"/>
        <w:tabs>
          <w:tab w:leader="none" w:pos="40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3" w:lineRule="exact"/>
        <w:rPr>
          <w:rFonts w:ascii="Times New Roman" w:cs="Times New Roman" w:eastAsia="Times New Roman" w:hAnsi="Times New Roman"/>
          <w:sz w:val="18"/>
          <w:szCs w:val="18"/>
          <w:color w:val="auto"/>
        </w:rPr>
      </w:pPr>
    </w:p>
    <w:p>
      <w:pPr>
        <w:ind w:left="402" w:right="1060" w:hanging="402"/>
        <w:spacing w:after="0" w:line="226" w:lineRule="auto"/>
        <w:tabs>
          <w:tab w:leader="none" w:pos="40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3" w:lineRule="exact"/>
        <w:rPr>
          <w:rFonts w:ascii="Times New Roman" w:cs="Times New Roman" w:eastAsia="Times New Roman" w:hAnsi="Times New Roman"/>
          <w:sz w:val="18"/>
          <w:szCs w:val="18"/>
          <w:color w:val="auto"/>
        </w:rPr>
      </w:pPr>
    </w:p>
    <w:p>
      <w:pPr>
        <w:ind w:left="402" w:right="1180" w:hanging="402"/>
        <w:spacing w:after="0" w:line="226" w:lineRule="auto"/>
        <w:tabs>
          <w:tab w:leader="none" w:pos="40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3" w:lineRule="exact"/>
        <w:rPr>
          <w:rFonts w:ascii="Times New Roman" w:cs="Times New Roman" w:eastAsia="Times New Roman" w:hAnsi="Times New Roman"/>
          <w:sz w:val="18"/>
          <w:szCs w:val="18"/>
          <w:color w:val="auto"/>
        </w:rPr>
      </w:pPr>
    </w:p>
    <w:p>
      <w:pPr>
        <w:ind w:left="922" w:right="1340" w:hanging="517"/>
        <w:spacing w:after="0" w:line="224" w:lineRule="auto"/>
        <w:tabs>
          <w:tab w:leader="none" w:pos="922"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0" w:lineRule="exact"/>
        <w:rPr>
          <w:rFonts w:ascii="Times New Roman" w:cs="Times New Roman" w:eastAsia="Times New Roman" w:hAnsi="Times New Roman"/>
          <w:sz w:val="18"/>
          <w:szCs w:val="18"/>
          <w:color w:val="auto"/>
        </w:rPr>
      </w:pPr>
    </w:p>
    <w:p>
      <w:pPr>
        <w:ind w:left="922" w:right="1060" w:hanging="517"/>
        <w:spacing w:after="0" w:line="224" w:lineRule="auto"/>
        <w:tabs>
          <w:tab w:leader="none" w:pos="922"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0" w:lineRule="exact"/>
        <w:rPr>
          <w:rFonts w:ascii="Times New Roman" w:cs="Times New Roman" w:eastAsia="Times New Roman" w:hAnsi="Times New Roman"/>
          <w:sz w:val="18"/>
          <w:szCs w:val="18"/>
          <w:color w:val="auto"/>
        </w:rPr>
      </w:pPr>
    </w:p>
    <w:p>
      <w:pPr>
        <w:jc w:val="both"/>
        <w:ind w:left="922" w:right="1180" w:hanging="517"/>
        <w:spacing w:after="0" w:line="226" w:lineRule="auto"/>
        <w:tabs>
          <w:tab w:leader="none" w:pos="922"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3" w:lineRule="exact"/>
        <w:rPr>
          <w:rFonts w:ascii="Times New Roman" w:cs="Times New Roman" w:eastAsia="Times New Roman" w:hAnsi="Times New Roman"/>
          <w:sz w:val="18"/>
          <w:szCs w:val="18"/>
          <w:color w:val="auto"/>
        </w:rPr>
      </w:pPr>
    </w:p>
    <w:p>
      <w:pPr>
        <w:ind w:left="922" w:right="1100" w:hanging="517"/>
        <w:spacing w:after="0" w:line="226" w:lineRule="auto"/>
        <w:tabs>
          <w:tab w:leader="none" w:pos="922"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63" w:lineRule="exact"/>
        <w:rPr>
          <w:rFonts w:ascii="Times New Roman" w:cs="Times New Roman" w:eastAsia="Times New Roman" w:hAnsi="Times New Roman"/>
          <w:sz w:val="18"/>
          <w:szCs w:val="18"/>
          <w:color w:val="auto"/>
        </w:rPr>
      </w:pPr>
    </w:p>
    <w:p>
      <w:pPr>
        <w:ind w:left="402" w:right="1120" w:hanging="402"/>
        <w:spacing w:after="0" w:line="226" w:lineRule="auto"/>
        <w:tabs>
          <w:tab w:leader="none" w:pos="40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63" w:lineRule="exact"/>
        <w:rPr>
          <w:rFonts w:ascii="Times New Roman" w:cs="Times New Roman" w:eastAsia="Times New Roman" w:hAnsi="Times New Roman"/>
          <w:sz w:val="18"/>
          <w:szCs w:val="18"/>
          <w:color w:val="auto"/>
        </w:rPr>
      </w:pPr>
    </w:p>
    <w:p>
      <w:pPr>
        <w:ind w:left="1022" w:right="1040" w:hanging="617"/>
        <w:spacing w:after="0" w:line="226" w:lineRule="auto"/>
        <w:tabs>
          <w:tab w:leader="none" w:pos="1022"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3" w:lineRule="exact"/>
        <w:rPr>
          <w:rFonts w:ascii="Times New Roman" w:cs="Times New Roman" w:eastAsia="Times New Roman" w:hAnsi="Times New Roman"/>
          <w:sz w:val="18"/>
          <w:szCs w:val="18"/>
          <w:color w:val="auto"/>
        </w:rPr>
      </w:pPr>
    </w:p>
    <w:p>
      <w:pPr>
        <w:ind w:left="1022" w:right="1100" w:hanging="617"/>
        <w:spacing w:after="0" w:line="237" w:lineRule="auto"/>
        <w:tabs>
          <w:tab w:leader="none" w:pos="1022"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47" w:lineRule="exact"/>
        <w:rPr>
          <w:sz w:val="20"/>
          <w:szCs w:val="20"/>
          <w:color w:val="auto"/>
        </w:rPr>
      </w:pPr>
    </w:p>
    <w:p>
      <w:pPr>
        <w:ind w:left="662"/>
        <w:spacing w:after="0"/>
        <w:tabs>
          <w:tab w:leader="none" w:pos="1281" w:val="left"/>
          <w:tab w:leader="none" w:pos="5841" w:val="left"/>
        </w:tabs>
        <w:rPr>
          <w:sz w:val="20"/>
          <w:szCs w:val="20"/>
          <w:color w:val="auto"/>
        </w:rPr>
      </w:pPr>
      <w:r>
        <w:rPr>
          <w:rFonts w:ascii="Times New Roman" w:cs="Times New Roman" w:eastAsia="Times New Roman" w:hAnsi="Times New Roman"/>
          <w:sz w:val="18"/>
          <w:szCs w:val="18"/>
          <w:color w:val="auto"/>
        </w:rPr>
        <w:t>Date:</w:t>
        <w:tab/>
        <w:t>July 27, 2022</w:t>
      </w:r>
      <w:r>
        <w:rPr>
          <w:sz w:val="20"/>
          <w:szCs w:val="20"/>
          <w:color w:val="auto"/>
        </w:rPr>
        <w:tab/>
      </w:r>
      <w:r>
        <w:rPr>
          <w:rFonts w:ascii="Times New Roman" w:cs="Times New Roman" w:eastAsia="Times New Roman" w:hAnsi="Times New Roman"/>
          <w:sz w:val="17"/>
          <w:szCs w:val="17"/>
          <w:color w:val="auto"/>
        </w:rPr>
        <w:t>/s/ Brian Garner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3713480</wp:posOffset>
            </wp:positionH>
            <wp:positionV relativeFrom="paragraph">
              <wp:posOffset>17145</wp:posOffset>
            </wp:positionV>
            <wp:extent cx="172275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30" w:lineRule="exact"/>
        <w:rPr>
          <w:sz w:val="20"/>
          <w:szCs w:val="20"/>
          <w:color w:val="auto"/>
        </w:rPr>
      </w:pPr>
    </w:p>
    <w:p>
      <w:pPr>
        <w:ind w:left="5862"/>
        <w:spacing w:after="0"/>
        <w:rPr>
          <w:sz w:val="20"/>
          <w:szCs w:val="20"/>
          <w:color w:val="auto"/>
        </w:rPr>
      </w:pPr>
      <w:r>
        <w:rPr>
          <w:rFonts w:ascii="Times New Roman" w:cs="Times New Roman" w:eastAsia="Times New Roman" w:hAnsi="Times New Roman"/>
          <w:sz w:val="18"/>
          <w:szCs w:val="18"/>
          <w:color w:val="auto"/>
        </w:rPr>
        <w:t>Brian Garner</w:t>
      </w:r>
    </w:p>
    <w:p>
      <w:pPr>
        <w:spacing w:after="0" w:line="50" w:lineRule="exact"/>
        <w:rPr>
          <w:sz w:val="20"/>
          <w:szCs w:val="20"/>
          <w:color w:val="auto"/>
        </w:rPr>
      </w:pPr>
    </w:p>
    <w:p>
      <w:pPr>
        <w:ind w:left="5862"/>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222"/>
          </w:cols>
          <w:pgMar w:left="1338" w:top="887"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34" w:lineRule="exact"/>
        <w:rPr>
          <w:sz w:val="20"/>
          <w:szCs w:val="20"/>
          <w:color w:val="auto"/>
        </w:rPr>
      </w:pPr>
    </w:p>
    <w:p>
      <w:pPr>
        <w:ind w:left="60"/>
        <w:spacing w:after="0" w:line="282" w:lineRule="auto"/>
        <w:rPr>
          <w:sz w:val="20"/>
          <w:szCs w:val="20"/>
          <w:color w:val="auto"/>
        </w:rPr>
      </w:pPr>
      <w:r>
        <w:rPr>
          <w:rFonts w:ascii="Times New Roman" w:cs="Times New Roman" w:eastAsia="Times New Roman" w:hAnsi="Times New Roman"/>
          <w:sz w:val="18"/>
          <w:szCs w:val="18"/>
          <w:color w:val="auto"/>
        </w:rPr>
        <w:t>I, Steven A. Michaels, Chief Executive Officer of PROG Holdings, Inc. (the "Company"), certify, pursuant to Section 906 of the Sarbanes-Oxley Act of 2002, 18 U.S.C. Section 1350 that:</w:t>
      </w:r>
    </w:p>
    <w:p>
      <w:pPr>
        <w:spacing w:after="0" w:line="189" w:lineRule="exact"/>
        <w:rPr>
          <w:sz w:val="20"/>
          <w:szCs w:val="20"/>
          <w:color w:val="auto"/>
        </w:rPr>
      </w:pPr>
    </w:p>
    <w:p>
      <w:pPr>
        <w:ind w:left="60" w:right="180"/>
        <w:spacing w:after="0" w:line="282" w:lineRule="auto"/>
        <w:rPr>
          <w:sz w:val="20"/>
          <w:szCs w:val="20"/>
          <w:color w:val="auto"/>
        </w:rPr>
      </w:pPr>
      <w:r>
        <w:rPr>
          <w:rFonts w:ascii="Times New Roman" w:cs="Times New Roman" w:eastAsia="Times New Roman" w:hAnsi="Times New Roman"/>
          <w:sz w:val="18"/>
          <w:szCs w:val="18"/>
          <w:color w:val="auto"/>
        </w:rPr>
        <w:t>The Quarterly Report on Form 10-Q of the Company for the quarter ended June 30, 2022 (the "Report") fully complies with the requirements of Section 13(a) of the Securities Exchange Act of 1934 (15 U.S.C. 78m); and</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Date:   July 27, 2022</w:t>
            </w:r>
          </w:p>
        </w:tc>
        <w:tc>
          <w:tcPr>
            <w:tcW w:w="3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Steven A. Michaels</w:t>
            </w:r>
          </w:p>
        </w:tc>
      </w:tr>
      <w:tr>
        <w:trPr>
          <w:trHeight w:val="218"/>
        </w:trPr>
        <w:tc>
          <w:tcPr>
            <w:tcW w:w="7580" w:type="dxa"/>
            <w:vAlign w:val="bottom"/>
          </w:tcPr>
          <w:p>
            <w:pPr>
              <w:spacing w:after="0"/>
              <w:rPr>
                <w:sz w:val="18"/>
                <w:szCs w:val="18"/>
                <w:color w:val="auto"/>
              </w:rPr>
            </w:pPr>
          </w:p>
        </w:tc>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Steven A. Michaels</w:t>
            </w:r>
          </w:p>
        </w:tc>
      </w:tr>
      <w:tr>
        <w:trPr>
          <w:trHeight w:val="234"/>
        </w:trPr>
        <w:tc>
          <w:tcPr>
            <w:tcW w:w="7580" w:type="dxa"/>
            <w:vAlign w:val="bottom"/>
          </w:tcPr>
          <w:p>
            <w:pPr>
              <w:spacing w:after="0"/>
              <w:rPr>
                <w:sz w:val="20"/>
                <w:szCs w:val="20"/>
                <w:color w:val="auto"/>
              </w:rPr>
            </w:pPr>
          </w:p>
        </w:tc>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20"/>
          </w:cols>
          <w:pgMar w:left="340" w:top="887"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Brian Garner, Chief Financial Officer of PROG Holdings, Inc. (the "Company"), certify, pursuant to Section 906 of the Sarbanes-Oxley Act of 2002, 18</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U.S.C. Section 1350 that:</w:t>
      </w:r>
    </w:p>
    <w:p>
      <w:pPr>
        <w:spacing w:after="0" w:line="234" w:lineRule="exact"/>
        <w:rPr>
          <w:sz w:val="20"/>
          <w:szCs w:val="20"/>
          <w:color w:val="auto"/>
        </w:rPr>
      </w:pPr>
    </w:p>
    <w:p>
      <w:pPr>
        <w:ind w:left="60" w:right="20"/>
        <w:spacing w:after="0" w:line="282" w:lineRule="auto"/>
        <w:rPr>
          <w:sz w:val="20"/>
          <w:szCs w:val="20"/>
          <w:color w:val="auto"/>
        </w:rPr>
      </w:pPr>
      <w:r>
        <w:rPr>
          <w:rFonts w:ascii="Times New Roman" w:cs="Times New Roman" w:eastAsia="Times New Roman" w:hAnsi="Times New Roman"/>
          <w:sz w:val="18"/>
          <w:szCs w:val="18"/>
          <w:color w:val="auto"/>
        </w:rPr>
        <w:t>The Quarterly Report on Form 10-Q of the Company for the quarter ended June 30, 2022 (the "Report") fully complies with the requirements of Section 13(a) of the Securities Exchange Act of 1934 (15 U.S.C. 78m); and</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Date:   July 27, 2022</w:t>
            </w:r>
          </w:p>
        </w:tc>
        <w:tc>
          <w:tcPr>
            <w:tcW w:w="3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Brian Garner</w:t>
            </w:r>
          </w:p>
        </w:tc>
      </w:tr>
      <w:tr>
        <w:trPr>
          <w:trHeight w:val="218"/>
        </w:trPr>
        <w:tc>
          <w:tcPr>
            <w:tcW w:w="7620" w:type="dxa"/>
            <w:vAlign w:val="bottom"/>
          </w:tcPr>
          <w:p>
            <w:pPr>
              <w:spacing w:after="0"/>
              <w:rPr>
                <w:sz w:val="18"/>
                <w:szCs w:val="18"/>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Brian Garner</w:t>
            </w:r>
          </w:p>
        </w:tc>
      </w:tr>
      <w:tr>
        <w:trPr>
          <w:trHeight w:val="234"/>
        </w:trPr>
        <w:tc>
          <w:tcPr>
            <w:tcW w:w="7620" w:type="dxa"/>
            <w:vAlign w:val="bottom"/>
          </w:tcPr>
          <w:p>
            <w:pPr>
              <w:spacing w:after="0"/>
              <w:rPr>
                <w:sz w:val="20"/>
                <w:szCs w:val="20"/>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20"/>
      </w:cols>
      <w:pgMar w:left="34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bullet"/>
      <w:start w:val="1"/>
    </w:lvl>
  </w:abstractNum>
  <w:abstractNum w:abstractNumId="3">
    <w:nsid w:val="7FDCC233"/>
    <w:multiLevelType w:val="hybridMultilevel"/>
    <w:lvl w:ilvl="0">
      <w:lvlJc w:val="left"/>
      <w:lvlText w:val="%1)"/>
      <w:numFmt w:val="decimal"/>
      <w:start w:val="848"/>
    </w:lvl>
  </w:abstractNum>
  <w:abstractNum w:abstractNumId="4">
    <w:nsid w:val="1BEFD79F"/>
    <w:multiLevelType w:val="hybridMultilevel"/>
    <w:lvl w:ilvl="0">
      <w:lvlJc w:val="left"/>
      <w:lvlText w:val="1"/>
      <w:numFmt w:val="bullet"/>
      <w:start w:val="1"/>
    </w:lvl>
  </w:abstractNum>
  <w:abstractNum w:abstractNumId="5">
    <w:nsid w:val="41A7C4C9"/>
    <w:multiLevelType w:val="hybridMultilevel"/>
    <w:lvl w:ilvl="0">
      <w:lvlJc w:val="left"/>
      <w:lvlText w:val="1"/>
      <w:numFmt w:val="bullet"/>
      <w:start w:val="1"/>
    </w:lvl>
  </w:abstractNum>
  <w:abstractNum w:abstractNumId="6">
    <w:nsid w:val="6B68079A"/>
    <w:multiLevelType w:val="hybridMultilevel"/>
    <w:lvl w:ilvl="0">
      <w:lvlJc w:val="left"/>
      <w:lvlText w:val="2"/>
      <w:numFmt w:val="bullet"/>
      <w:start w:val="1"/>
    </w:lvl>
  </w:abstractNum>
  <w:abstractNum w:abstractNumId="7">
    <w:nsid w:val="4E6AFB66"/>
    <w:multiLevelType w:val="hybridMultilevel"/>
    <w:lvl w:ilvl="0">
      <w:lvlJc w:val="left"/>
      <w:lvlText w:val="1"/>
      <w:numFmt w:val="bullet"/>
      <w:start w:val="1"/>
    </w:lvl>
  </w:abstractNum>
  <w:abstractNum w:abstractNumId="8">
    <w:nsid w:val="25E45D32"/>
    <w:multiLevelType w:val="hybridMultilevel"/>
    <w:lvl w:ilvl="0">
      <w:lvlJc w:val="left"/>
      <w:lvlText w:val="2"/>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1"/>
      <w:numFmt w:val="bullet"/>
      <w:start w:val="1"/>
    </w:lvl>
  </w:abstractNum>
  <w:abstractNum w:abstractNumId="11">
    <w:nsid w:val="3F2DBA31"/>
    <w:multiLevelType w:val="hybridMultilevel"/>
    <w:lvl w:ilvl="0">
      <w:lvlJc w:val="left"/>
      <w:lvlText w:val="2"/>
      <w:numFmt w:val="bullet"/>
      <w:start w:val="1"/>
    </w:lvl>
  </w:abstractNum>
  <w:abstractNum w:abstractNumId="12">
    <w:nsid w:val="7C83E458"/>
    <w:multiLevelType w:val="hybridMultilevel"/>
    <w:lvl w:ilvl="0">
      <w:lvlJc w:val="left"/>
      <w:lvlText w:val="3"/>
      <w:numFmt w:val="bullet"/>
      <w:start w:val="1"/>
    </w:lvl>
  </w:abstractNum>
  <w:abstractNum w:abstractNumId="13">
    <w:nsid w:val="257130A3"/>
    <w:multiLevelType w:val="hybridMultilevel"/>
    <w:lvl w:ilvl="0">
      <w:lvlJc w:val="left"/>
      <w:lvlText w:val="4"/>
      <w:numFmt w:val="bullet"/>
      <w:start w:val="1"/>
    </w:lvl>
  </w:abstractNum>
  <w:abstractNum w:abstractNumId="14">
    <w:nsid w:val="62BBD95A"/>
    <w:multiLevelType w:val="hybridMultilevel"/>
    <w:lvl w:ilvl="0">
      <w:lvlJc w:val="left"/>
      <w:lvlText w:val="1"/>
      <w:numFmt w:val="bullet"/>
      <w:start w:val="1"/>
    </w:lvl>
  </w:abstractNum>
  <w:abstractNum w:abstractNumId="15">
    <w:nsid w:val="436C6125"/>
    <w:multiLevelType w:val="hybridMultilevel"/>
    <w:lvl w:ilvl="0">
      <w:lvlJc w:val="left"/>
      <w:lvlText w:val="2"/>
      <w:numFmt w:val="bullet"/>
      <w:start w:val="1"/>
    </w:lvl>
  </w:abstractNum>
  <w:abstractNum w:abstractNumId="16">
    <w:nsid w:val="628C895D"/>
    <w:multiLevelType w:val="hybridMultilevel"/>
    <w:lvl w:ilvl="0">
      <w:lvlJc w:val="left"/>
      <w:lvlText w:val="3"/>
      <w:numFmt w:val="bullet"/>
      <w:start w:val="1"/>
    </w:lvl>
  </w:abstractNum>
  <w:abstractNum w:abstractNumId="17">
    <w:nsid w:val="333AB105"/>
    <w:multiLevelType w:val="hybridMultilevel"/>
    <w:lvl w:ilvl="0">
      <w:lvlJc w:val="left"/>
      <w:lvlText w:val="4"/>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1"/>
      <w:numFmt w:val="bullet"/>
      <w:start w:val="1"/>
    </w:lvl>
  </w:abstractNum>
  <w:abstractNum w:abstractNumId="22">
    <w:nsid w:val="75A2A8D4"/>
    <w:multiLevelType w:val="hybridMultilevel"/>
    <w:lvl w:ilvl="0">
      <w:lvlJc w:val="left"/>
      <w:lvlText w:val="%1"/>
      <w:numFmt w:val="decimal"/>
      <w:start w:val="104"/>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2022-07-27T08:31:20Z</dcterms:created>
  <dcterms:modified xsi:type="dcterms:W3CDTF">2022-07-27T08:31:20Z</dcterms:modified>
</cp:coreProperties>
</file>