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18"/>
        </w:rPr>
        <w:t>________________________________</w:t>
      </w:r>
    </w:p>
    <w:p>
      <w:pPr>
        <w:pStyle w:val="TextBody"/>
        <w:bidi w:val="0"/>
        <w:spacing w:lineRule="auto" w:line="288" w:before="60" w:after="283"/>
        <w:jc w:val="center"/>
        <w:rPr/>
      </w:pPr>
      <w:r>
        <w:rPr>
          <w:color w:val="000000"/>
        </w:rPr>
        <w:t> </w:t>
      </w: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1-39628 </w:t>
      </w:r>
    </w:p>
    <w:p>
      <w:pPr>
        <w:pStyle w:val="TextBody"/>
        <w:bidi w:val="0"/>
        <w:spacing w:lineRule="auto" w:line="288" w:before="60" w:after="283"/>
        <w:jc w:val="center"/>
        <w:rPr>
          <w:color w:val="000000"/>
        </w:rPr>
      </w:pPr>
      <w:r>
        <w:rPr>
          <w:color w:val="000000"/>
        </w:rPr>
        <w:t> </w:t>
      </w:r>
      <w:r>
        <w:rPr>
          <w:rFonts w:ascii="Times New Roman;serif" w:hAnsi="Times New Roman;serif"/>
          <w:b/>
          <w:color w:val="000000"/>
          <w:sz w:val="18"/>
        </w:rPr>
        <w:t>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48"/>
        </w:rPr>
        <w:t>PROG HOLDINGS, INC.</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8"/>
        </w:rPr>
        <w:t>_________________________________</w:t>
      </w:r>
    </w:p>
    <w:tbl>
      <w:tblPr>
        <w:tblW w:w="4854" w:type="dxa"/>
        <w:jc w:val="center"/>
        <w:tblInd w:w="0" w:type="dxa"/>
        <w:tblLayout w:type="fixed"/>
        <w:tblCellMar>
          <w:top w:w="28" w:type="dxa"/>
          <w:left w:w="28" w:type="dxa"/>
          <w:bottom w:w="28" w:type="dxa"/>
          <w:right w:w="28" w:type="dxa"/>
        </w:tblCellMar>
      </w:tblPr>
      <w:tblGrid>
        <w:gridCol w:w="314"/>
        <w:gridCol w:w="276"/>
        <w:gridCol w:w="276"/>
        <w:gridCol w:w="276"/>
        <w:gridCol w:w="276"/>
        <w:gridCol w:w="276"/>
        <w:gridCol w:w="254"/>
        <w:gridCol w:w="254"/>
        <w:gridCol w:w="256"/>
        <w:gridCol w:w="195"/>
        <w:gridCol w:w="195"/>
        <w:gridCol w:w="195"/>
        <w:gridCol w:w="109"/>
        <w:gridCol w:w="109"/>
        <w:gridCol w:w="109"/>
        <w:gridCol w:w="433"/>
        <w:gridCol w:w="433"/>
        <w:gridCol w:w="618"/>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85-2484385</w:t>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 R. S. Employer</w:t>
              <w:br/>
              <w:t>Identification No.)</w:t>
            </w:r>
          </w:p>
        </w:tc>
      </w:tr>
      <w:tr>
        <w:trPr/>
        <w:tc>
          <w:tcPr>
            <w:tcW w:w="3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 W. Data Drive</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Draper,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84020-2315</w:t>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(385) 351-1369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513" w:type="dxa"/>
        <w:jc w:val="left"/>
        <w:tblInd w:w="0" w:type="dxa"/>
        <w:tblLayout w:type="fixed"/>
        <w:tblCellMar>
          <w:top w:w="28" w:type="dxa"/>
          <w:left w:w="28" w:type="dxa"/>
          <w:bottom w:w="28" w:type="dxa"/>
          <w:right w:w="28" w:type="dxa"/>
        </w:tblCellMar>
      </w:tblPr>
      <w:tblGrid>
        <w:gridCol w:w="1036"/>
        <w:gridCol w:w="908"/>
        <w:gridCol w:w="921"/>
        <w:gridCol w:w="444"/>
        <w:gridCol w:w="444"/>
        <w:gridCol w:w="446"/>
        <w:gridCol w:w="970"/>
        <w:gridCol w:w="970"/>
        <w:gridCol w:w="1374"/>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$0.50 Par Value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8"/>
        </w:rPr>
        <w:t>___________________________________</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1013"/>
        <w:gridCol w:w="720"/>
        <w:gridCol w:w="673"/>
        <w:gridCol w:w="140"/>
        <w:gridCol w:w="140"/>
        <w:gridCol w:w="140"/>
        <w:gridCol w:w="140"/>
        <w:gridCol w:w="140"/>
        <w:gridCol w:w="140"/>
        <w:gridCol w:w="899"/>
        <w:gridCol w:w="899"/>
        <w:gridCol w:w="902"/>
        <w:gridCol w:w="140"/>
        <w:gridCol w:w="140"/>
        <w:gridCol w:w="140"/>
        <w:gridCol w:w="1043"/>
        <w:gridCol w:w="1043"/>
        <w:gridCol w:w="1048"/>
        <w:gridCol w:w="109"/>
        <w:gridCol w:w="109"/>
        <w:gridCol w:w="109"/>
        <w:gridCol w:w="109"/>
        <w:gridCol w:w="109"/>
        <w:gridCol w:w="160"/>
      </w:tblGrid>
      <w:tr>
        <w:trPr/>
        <w:tc>
          <w:tcPr>
            <w:tcW w:w="10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 not check if a smaller reporting company)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Indicate the number of shares outstanding of each of the issuer’s classes of common stock, as of the latest practicable date.</w:t>
      </w:r>
    </w:p>
    <w:tbl>
      <w:tblPr>
        <w:tblW w:w="5052" w:type="dxa"/>
        <w:jc w:val="left"/>
        <w:tblInd w:w="0" w:type="dxa"/>
        <w:tblLayout w:type="fixed"/>
        <w:tblCellMar>
          <w:top w:w="28" w:type="dxa"/>
          <w:left w:w="28" w:type="dxa"/>
          <w:bottom w:w="28" w:type="dxa"/>
          <w:right w:w="28" w:type="dxa"/>
        </w:tblCellMar>
      </w:tblPr>
      <w:tblGrid>
        <w:gridCol w:w="996"/>
        <w:gridCol w:w="879"/>
        <w:gridCol w:w="885"/>
        <w:gridCol w:w="109"/>
        <w:gridCol w:w="109"/>
        <w:gridCol w:w="109"/>
        <w:gridCol w:w="574"/>
        <w:gridCol w:w="574"/>
        <w:gridCol w:w="817"/>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Outstanding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July 24, 2026</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$0.50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39,831,633</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032" w:type="dxa"/>
        <w:jc w:val="left"/>
        <w:tblInd w:w="0" w:type="dxa"/>
        <w:tblLayout w:type="fixed"/>
        <w:tblCellMar>
          <w:top w:w="28" w:type="dxa"/>
          <w:left w:w="28" w:type="dxa"/>
          <w:bottom w:w="28" w:type="dxa"/>
          <w:right w:w="28" w:type="dxa"/>
        </w:tblCellMar>
      </w:tblPr>
      <w:tblGrid>
        <w:gridCol w:w="3499"/>
        <w:gridCol w:w="3074"/>
        <w:gridCol w:w="3087"/>
        <w:gridCol w:w="109"/>
        <w:gridCol w:w="109"/>
        <w:gridCol w:w="154"/>
      </w:tblGrid>
      <w:tr>
        <w:trPr/>
        <w:tc>
          <w:tcPr>
            <w:tcW w:w="349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0">
              <w:r>
                <w:rPr>
                  <w:rStyle w:val="InternetLink"/>
                  <w:rFonts w:ascii="Times New Roman;serif" w:hAnsi="Times New Roman;serif"/>
                  <w:b/>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3">
              <w:r>
                <w:rPr>
                  <w:rStyle w:val="InternetLink"/>
                  <w:rFonts w:ascii="Times New Roman;serif" w:hAnsi="Times New Roman;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3">
              <w:r>
                <w:rPr>
                  <w:rStyle w:val="InternetLink"/>
                  <w:rFonts w:ascii="Times New Roman;serif" w:hAnsi="Times New Roman;serif"/>
                  <w:b w:val="false"/>
                  <w:color w:val="0000FF"/>
                  <w:sz w:val="20"/>
                  <w:u w:val="single"/>
                </w:rPr>
                <w:t>3</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6">
              <w:r>
                <w:rPr>
                  <w:rStyle w:val="InternetLink"/>
                  <w:rFonts w:ascii="Times New Roman;serif" w:hAnsi="Times New Roman;serif"/>
                  <w:b w:val="false"/>
                  <w:color w:val="000080"/>
                  <w:sz w:val="20"/>
                  <w:u w:val="single"/>
                </w:rPr>
                <w:t xml:space="preserve">Condensed Consolidated Balance Sheets – </w:t>
              </w:r>
            </w:hyperlink>
            <w:hyperlink w:anchor="i50009f10fde848b186911fcbeb8cf030_16">
              <w:r>
                <w:rPr>
                  <w:rStyle w:val="InternetLink"/>
                  <w:rFonts w:ascii="Times New Roman;serif" w:hAnsi="Times New Roman;serif"/>
                  <w:b w:val="false"/>
                  <w:color w:val="000080"/>
                  <w:sz w:val="20"/>
                  <w:u w:val="single"/>
                </w:rPr>
                <w:t>June 30</w:t>
              </w:r>
            </w:hyperlink>
            <w:hyperlink w:anchor="i50009f10fde848b186911fcbeb8cf030_16">
              <w:r>
                <w:rPr>
                  <w:rStyle w:val="InternetLink"/>
                  <w:rFonts w:ascii="Times New Roman;serif" w:hAnsi="Times New Roman;serif"/>
                  <w:b w:val="false"/>
                  <w:color w:val="000080"/>
                  <w:sz w:val="20"/>
                  <w:u w:val="single"/>
                </w:rPr>
                <w:t>, 2026 (Unaudited) and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6">
              <w:r>
                <w:rPr>
                  <w:rStyle w:val="InternetLink"/>
                  <w:rFonts w:ascii="Times New Roman;serif" w:hAnsi="Times New Roman;serif"/>
                  <w:b w:val="false"/>
                  <w:color w:val="0000FF"/>
                  <w:sz w:val="20"/>
                  <w:u w:val="single"/>
                </w:rPr>
                <w:t>3</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9">
              <w:r>
                <w:rPr>
                  <w:rStyle w:val="InternetLink"/>
                  <w:rFonts w:ascii="Times New Roman;serif" w:hAnsi="Times New Roman;serif"/>
                  <w:b w:val="false"/>
                  <w:color w:val="000080"/>
                  <w:sz w:val="20"/>
                  <w:u w:val="single"/>
                </w:rPr>
                <w:t xml:space="preserve">Condensed Consolidated Statements of Earnings (Unaudited) – Three </w:t>
              </w:r>
            </w:hyperlink>
            <w:hyperlink w:anchor="i50009f10fde848b186911fcbeb8cf030_19">
              <w:r>
                <w:rPr>
                  <w:rStyle w:val="InternetLink"/>
                  <w:rFonts w:ascii="Times New Roman;serif" w:hAnsi="Times New Roman;serif"/>
                  <w:b w:val="false"/>
                  <w:color w:val="000080"/>
                  <w:sz w:val="20"/>
                  <w:u w:val="single"/>
                </w:rPr>
                <w:t>and</w:t>
              </w:r>
            </w:hyperlink>
            <w:hyperlink w:anchor="i50009f10fde848b186911fcbeb8cf030_19">
              <w:r>
                <w:rPr>
                  <w:rStyle w:val="InternetLink"/>
                  <w:rFonts w:ascii="Times New Roman;serif" w:hAnsi="Times New Roman;serif"/>
                  <w:b w:val="false"/>
                  <w:color w:val="000080"/>
                  <w:sz w:val="20"/>
                  <w:u w:val="single"/>
                </w:rPr>
                <w:t xml:space="preserve"> </w:t>
              </w:r>
            </w:hyperlink>
            <w:hyperlink w:anchor="i50009f10fde848b186911fcbeb8cf030_19">
              <w:r>
                <w:rPr>
                  <w:rStyle w:val="InternetLink"/>
                  <w:rFonts w:ascii="Times New Roman;serif" w:hAnsi="Times New Roman;serif"/>
                  <w:b w:val="false"/>
                  <w:color w:val="000080"/>
                  <w:sz w:val="20"/>
                  <w:u w:val="single"/>
                </w:rPr>
                <w:t xml:space="preserve">Six </w:t>
              </w:r>
            </w:hyperlink>
            <w:hyperlink w:anchor="i50009f10fde848b186911fcbeb8cf030_19">
              <w:r>
                <w:rPr>
                  <w:rStyle w:val="InternetLink"/>
                  <w:rFonts w:ascii="Times New Roman;serif" w:hAnsi="Times New Roman;serif"/>
                  <w:b w:val="false"/>
                  <w:color w:val="000080"/>
                  <w:sz w:val="20"/>
                  <w:u w:val="single"/>
                </w:rPr>
                <w:t xml:space="preserve">Months Ended </w:t>
              </w:r>
            </w:hyperlink>
            <w:hyperlink w:anchor="i50009f10fde848b186911fcbeb8cf030_19">
              <w:r>
                <w:rPr>
                  <w:rStyle w:val="InternetLink"/>
                  <w:rFonts w:ascii="Times New Roman;serif" w:hAnsi="Times New Roman;serif"/>
                  <w:b w:val="false"/>
                  <w:color w:val="000080"/>
                  <w:sz w:val="20"/>
                  <w:u w:val="single"/>
                </w:rPr>
                <w:t>June 30</w:t>
              </w:r>
            </w:hyperlink>
            <w:hyperlink w:anchor="i50009f10fde848b186911fcbeb8cf030_19">
              <w:r>
                <w:rPr>
                  <w:rStyle w:val="InternetLink"/>
                  <w:rFonts w:ascii="Times New Roman;serif" w:hAnsi="Times New Roman;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9">
              <w:r>
                <w:rPr>
                  <w:rStyle w:val="InternetLink"/>
                  <w:rFonts w:ascii="Times New Roman;serif" w:hAnsi="Times New Roman;serif"/>
                  <w:b w:val="false"/>
                  <w:color w:val="0000FF"/>
                  <w:sz w:val="20"/>
                  <w:u w:val="single"/>
                </w:rPr>
                <w:t>4</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28">
              <w:r>
                <w:rPr>
                  <w:rStyle w:val="InternetLink"/>
                  <w:rFonts w:ascii="Times New Roman;serif" w:hAnsi="Times New Roman;serif"/>
                  <w:b w:val="false"/>
                  <w:color w:val="000080"/>
                  <w:sz w:val="20"/>
                  <w:u w:val="single"/>
                </w:rPr>
                <w:t xml:space="preserve">Condensed Consolidated Statements of Cash Flows (Unaudited) – </w:t>
              </w:r>
            </w:hyperlink>
            <w:hyperlink w:anchor="i50009f10fde848b186911fcbeb8cf030_28">
              <w:r>
                <w:rPr>
                  <w:rStyle w:val="InternetLink"/>
                  <w:rFonts w:ascii="Times New Roman;serif" w:hAnsi="Times New Roman;serif"/>
                  <w:b w:val="false"/>
                  <w:color w:val="000080"/>
                  <w:sz w:val="20"/>
                  <w:u w:val="single"/>
                </w:rPr>
                <w:t>Six</w:t>
              </w:r>
            </w:hyperlink>
            <w:hyperlink w:anchor="i50009f10fde848b186911fcbeb8cf030_28">
              <w:r>
                <w:rPr>
                  <w:rStyle w:val="InternetLink"/>
                  <w:rFonts w:ascii="Times New Roman;serif" w:hAnsi="Times New Roman;serif"/>
                  <w:b w:val="false"/>
                  <w:color w:val="000080"/>
                  <w:sz w:val="20"/>
                  <w:u w:val="single"/>
                </w:rPr>
                <w:t xml:space="preserve"> Months Ended </w:t>
              </w:r>
            </w:hyperlink>
            <w:hyperlink w:anchor="i50009f10fde848b186911fcbeb8cf030_28">
              <w:r>
                <w:rPr>
                  <w:rStyle w:val="InternetLink"/>
                  <w:rFonts w:ascii="Times New Roman;serif" w:hAnsi="Times New Roman;serif"/>
                  <w:b w:val="false"/>
                  <w:color w:val="000080"/>
                  <w:sz w:val="20"/>
                  <w:u w:val="single"/>
                </w:rPr>
                <w:t>June 30</w:t>
              </w:r>
            </w:hyperlink>
            <w:hyperlink w:anchor="i50009f10fde848b186911fcbeb8cf030_28">
              <w:r>
                <w:rPr>
                  <w:rStyle w:val="InternetLink"/>
                  <w:rFonts w:ascii="Times New Roman;serif" w:hAnsi="Times New Roman;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28">
              <w:r>
                <w:rPr>
                  <w:rStyle w:val="InternetLink"/>
                  <w:rFonts w:ascii="Times New Roman;serif" w:hAnsi="Times New Roman;serif"/>
                  <w:b w:val="false"/>
                  <w:color w:val="0000FF"/>
                  <w:sz w:val="20"/>
                  <w:u w:val="single"/>
                </w:rPr>
                <w:t>5</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31">
              <w:r>
                <w:rPr>
                  <w:rStyle w:val="InternetLink"/>
                  <w:rFonts w:ascii="Times New Roman;serif" w:hAnsi="Times New Roman;serif"/>
                  <w:b w:val="false"/>
                  <w:color w:val="0000FF"/>
                  <w:sz w:val="20"/>
                  <w:u w:val="single"/>
                </w:rPr>
                <w:t>Notes to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31">
              <w:r>
                <w:rPr>
                  <w:rStyle w:val="InternetLink"/>
                  <w:rFonts w:ascii="Times New Roman;serif" w:hAnsi="Times New Roman;serif"/>
                  <w:b w:val="false"/>
                  <w:color w:val="0000FF"/>
                  <w:sz w:val="20"/>
                  <w:u w:val="single"/>
                </w:rPr>
                <w:t>6</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79">
              <w:r>
                <w:rPr>
                  <w:rStyle w:val="InternetLink"/>
                  <w:rFonts w:ascii="Times New Roman;serif" w:hAnsi="Times New Roman;serif"/>
                  <w:b w:val="false"/>
                  <w:color w:val="0000FF"/>
                  <w:sz w:val="20"/>
                  <w:u w:val="single"/>
                </w:rPr>
                <w:t>38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18">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18">
              <w:r>
                <w:rPr>
                  <w:rStyle w:val="InternetLink"/>
                  <w:rFonts w:ascii="Times New Roman;serif" w:hAnsi="Times New Roman;serif"/>
                  <w:b w:val="false"/>
                  <w:color w:val="0000FF"/>
                  <w:sz w:val="20"/>
                  <w:u w:val="single"/>
                </w:rPr>
                <w:t>56</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21">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21">
              <w:r>
                <w:rPr>
                  <w:rStyle w:val="InternetLink"/>
                  <w:rFonts w:ascii="Times New Roman;serif" w:hAnsi="Times New Roman;serif"/>
                  <w:b w:val="false"/>
                  <w:color w:val="0000FF"/>
                  <w:sz w:val="20"/>
                  <w:u w:val="single"/>
                </w:rPr>
                <w:t>57</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24">
              <w:r>
                <w:rPr>
                  <w:rStyle w:val="InternetLink"/>
                  <w:rFonts w:ascii="Times New Roman;serif" w:hAnsi="Times New Roman;serif"/>
                  <w:b/>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27">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27">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30">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30">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33">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33">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36">
              <w:r>
                <w:rPr>
                  <w:rStyle w:val="InternetLink"/>
                  <w:rFonts w:ascii="Times New Roman;serif" w:hAnsi="Times New Roman;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36">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39">
              <w:r>
                <w:rPr>
                  <w:rStyle w:val="InternetLink"/>
                  <w:rFonts w:ascii="Times New Roman;serif" w:hAnsi="Times New Roman;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39">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42">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42">
              <w:r>
                <w:rPr>
                  <w:rStyle w:val="InternetLink"/>
                  <w:rFonts w:ascii="Times New Roman;serif" w:hAnsi="Times New Roman;serif"/>
                  <w:b w:val="false"/>
                  <w:color w:val="0000FF"/>
                  <w:sz w:val="20"/>
                  <w:u w:val="single"/>
                </w:rPr>
                <w:t>58</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45">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45">
              <w:r>
                <w:rPr>
                  <w:rStyle w:val="InternetLink"/>
                  <w:rFonts w:ascii="Times New Roman;serif" w:hAnsi="Times New Roman;serif"/>
                  <w:b w:val="false"/>
                  <w:color w:val="0000FF"/>
                  <w:sz w:val="20"/>
                  <w:u w:val="single"/>
                </w:rPr>
                <w:t>59</w:t>
              </w:r>
            </w:hyperlink>
          </w:p>
        </w:tc>
      </w:tr>
      <w:tr>
        <w:trPr/>
        <w:tc>
          <w:tcPr>
            <w:tcW w:w="9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009f10fde848b186911fcbeb8cf030_148">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09f10fde848b186911fcbeb8cf030_148">
              <w:r>
                <w:rPr>
                  <w:rStyle w:val="InternetLink"/>
                  <w:rFonts w:ascii="Times New Roman;serif" w:hAnsi="Times New Roman;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ind w:left="0" w:right="0" w:hanging="81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03"/>
        <w:gridCol w:w="2259"/>
        <w:gridCol w:w="2278"/>
        <w:gridCol w:w="211"/>
        <w:gridCol w:w="976"/>
        <w:gridCol w:w="109"/>
        <w:gridCol w:w="109"/>
        <w:gridCol w:w="109"/>
        <w:gridCol w:w="109"/>
        <w:gridCol w:w="211"/>
        <w:gridCol w:w="976"/>
        <w:gridCol w:w="155"/>
      </w:tblGrid>
      <w:tr>
        <w:trPr/>
        <w:tc>
          <w:tcPr>
            <w:tcW w:w="2703"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2965"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 (net of allowances and unearned interest income of $94,401 in 2026 and $68,806 in 2025; includes $106,069 recorded at fair value in 2026)</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receivables (net of allowances and unearned interest income of $7,137 in 2026 and $0 in 2025; includes $10,063 recorded at fair value in 2026)</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merchandise (net of accumulated depreciation and allowances of $429,925 in 2026 and $407,104 in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receivable (net of allowances and unamortized fees of $19,808 in 2026 and $18,246 in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net</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par value $0.50 per share: authorized: 225,000,000 shares at June 30, 2026 and December 31, 2025; shares issued: 82,078,654</w:t>
            </w:r>
            <w:r>
              <w:rPr>
                <w:color w:val="EE2724"/>
              </w:rPr>
              <w:t xml:space="preserve"> </w:t>
            </w:r>
            <w:r>
              <w:rPr>
                <w:rFonts w:ascii="Times New Roman;serif" w:hAnsi="Times New Roman;serif"/>
                <w:b w:val="false"/>
                <w:color w:val="000000"/>
                <w:sz w:val="20"/>
              </w:rPr>
              <w:t>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1,999,307 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shares at cost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42,247,309 shares at June 30, 2026 and 42,502,844 at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1,610,408 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receivables included $381.4 million of contractual amounts outstanding of consolidated VIEs that can only be used to settle their obligations, and debt included $293.7 million of liabilities of consolidated VIEs for which creditors have no recourse to the Company. See Note 1.</w:t>
      </w:r>
    </w:p>
    <w:p>
      <w:pPr>
        <w:pStyle w:val="TextBody"/>
        <w:bidi w:val="0"/>
        <w:spacing w:lineRule="auto" w:line="288" w:before="60" w:after="283"/>
        <w:jc w:val="center"/>
        <w:rPr/>
      </w:pPr>
      <w:r>
        <w:rPr>
          <w:rFonts w:ascii="Times New Roman;serif" w:hAnsi="Times New Roman;serif"/>
          <w:b w:val="false"/>
          <w:i/>
          <w:color w:val="000000"/>
          <w:sz w:val="20"/>
        </w:rPr>
        <w:t>The accompanying notes are an integral part of the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12"/>
        <w:gridCol w:w="1337"/>
        <w:gridCol w:w="134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1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earnings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basic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diluted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dividend declared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i/>
          <w:color w:val="000000"/>
          <w:sz w:val="20"/>
        </w:rPr>
        <w:t>The accompanying notes are an integral part of the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44" w:type="dxa"/>
        <w:jc w:val="center"/>
        <w:tblInd w:w="0" w:type="dxa"/>
        <w:tblLayout w:type="fixed"/>
        <w:tblCellMar>
          <w:top w:w="28" w:type="dxa"/>
          <w:left w:w="28" w:type="dxa"/>
          <w:bottom w:w="28" w:type="dxa"/>
          <w:right w:w="28" w:type="dxa"/>
        </w:tblCellMar>
      </w:tblPr>
      <w:tblGrid>
        <w:gridCol w:w="2358"/>
        <w:gridCol w:w="2069"/>
        <w:gridCol w:w="2083"/>
        <w:gridCol w:w="211"/>
        <w:gridCol w:w="796"/>
        <w:gridCol w:w="109"/>
        <w:gridCol w:w="109"/>
        <w:gridCol w:w="109"/>
        <w:gridCol w:w="109"/>
        <w:gridCol w:w="211"/>
        <w:gridCol w:w="8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accounts receivable and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the acquisition: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lease merchandise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Book value of lease merchandise sold or disposed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 and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deposits and advance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loans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loans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Funding of 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Collections from other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on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option and employee purchase plans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for employee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(received) paid during the period:</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i/>
          <w:color w:val="000000"/>
          <w:sz w:val="20"/>
        </w:rPr>
        <w:t>The accompanying notes are an integral part of the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 BASIS AND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 Holdings, Inc. ("we," "our," "us," the "Company," or "PROG Holdings") is a financial technology holding company that provides transparent and competitive payment options to consumers. On January 2, 2026, the Company acquired 100% of the equity interests of P-Squared, LLC and its subsidiaries ("Purchasing Power"). The results of Purchasing Power are included in the Company's condensed consolidated financial statements beginning on the acquisition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PROG Holdings has three reportable segments: (i) Progressive Leasing, an in-store, app-based, and e-commerce point-of-sale lease-to-own solutions provider; (ii) Purchasing Power, a voluntary employee benefit program provider, allowing employees to purchase brand-name products and services through either automatic payroll deductions or allotments and (iii) Four Technologies, Inc. ("Four"), a modern cloud-native mobile app which offers Buy Now, Pay Later ("BNPL") payment options to consumers through the Four platform.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Progressive Leasing segment provides consumers with lease-purchase solutions through its point-of-sale partner locations and e-commerce website partners in the United States and Puerto Rico (collectively, "POS partners"), as well as through its direct-to-consumer app, PROG Marketplace, which allows consumers to shop hundreds of retailers at their convenience.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Purchasing Power segment is a voluntary employee benefit program provider allowing employees of its employer-clients to purchase brand-name products and services from Purchasing Power and then pay for those purchases through either automatic payroll deductions or allotments. Millions of employees nationwide have access to Purchasing Power's innovative purchasing options.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Four segment enables customers of all credit backgrounds to pay for purchases over time through four interest-free installment payments generally paid over a six-week period. Four offers transparent, fixed-term options, powered by its proprietary risk-decisioning engine and direct-to-consumer mobile app. Leveraging data science, automation, and machine learning, Four delivers efficient underwriting and consistent credit outcomes while supporting purchases across a diverse range of merchants and product categories. Customers use Four's mobile app to shop for apparel, electronics, furniture, footwear, health and beauty products, travel, and other goods across the United States.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 Holdings' ecosystem of financial technology offerings also includes MoneyApp, a mobile application that offers customers short-term liquidity solutions. MoneyApp is not a reportable segment as its financial results are not significant to the Company's condensed consolidated financial results.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elevated inflation, higher fuel costs, increasing unemployment rates, and/or the impact of tariffs.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2025 (the "2025 Annual Report") filed with the United States Securities and Exchange Commission on February 18, 2026. The results of operations for the three and six months ended June 30, 2026 are not necessarily indicative of operating results for the full year.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presents its condensed consolidated balance sheets in order of liquidity, which is consistent with industry practice for financial services and lease-to-own businesses and is meaningful given the nature of the Company's receivable-driven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PROG Holdings, Inc. and its subsidiaries, each of which is wholly-owned. Intercompany balances and transactions between consolidated entities have been eliminated.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consolidates certain variable interest entities ("VIEs") associated with its securitization and financing activities when it is determined to be the primary beneficiary. The Company is considered the primary beneficiary of these entities when it has both (i) the power to direct the activities that most significantly impact the entities' economic performance and (ii) the obligation to absorb losses or the right to receive benefits that could potentially be significant.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Vive Financial ("Vive"), an omnichannel provider of second-look revolving credit products, had been an operating segment of the Company prior to October 20, 2025, when the Company sold Vive's loans receivable portfolio. In conjunction with the sale, the Company determined that Vive would cease operations and began an orderly wind-down of its activities and obligations, which represents a strategic shift that will have a major effect on the Company's operations and financial results. Accordingly, Vive's results are presented as discontinued operations in the Company's condensed financial statements for all periods presented.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results of Vive are presented separately in the condensed consolidated statements of operations, net of tax, and assets and liabilities of discontinued operations are presented separately on the condensed consolidated balance sheets. Unless otherwise noted, amounts and disclosures throughout these notes relate to the Company's continuing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Acquisition of Purchasing Power</w:t>
      </w:r>
    </w:p>
    <w:p>
      <w:pPr>
        <w:pStyle w:val="TextBody"/>
        <w:bidi w:val="0"/>
        <w:spacing w:lineRule="auto" w:line="288" w:before="100" w:after="283"/>
        <w:jc w:val="left"/>
        <w:rPr/>
      </w:pPr>
      <w:r>
        <w:rPr>
          <w:rFonts w:ascii="Times New Roman;serif" w:hAnsi="Times New Roman;serif"/>
          <w:b w:val="false"/>
          <w:color w:val="000000"/>
          <w:sz w:val="20"/>
        </w:rPr>
        <w:t>On January 2, 2026, the Company acquired Purchasing Power for total consideration of approximately $424.2 million in cash. The acquisition has been accounted for as a business combination under Accounting Standards Codification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has recognized the identifiable assets acquired and liabilities assumed at their preliminary estimated fair values as of the acquisition date. The excess of the purchase price over the estimated fair value of the net assets acquired has been recorded as 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adjustment during the measurement period, which may extend up to one year from the acquisition date. The Company continues to evaluate, among other items, the fair value of certain accrued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Purchasing Power's operations are included within the Company's continuing operations beginning January 2, 2026. Refer to Note 2 for further information.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Accounting Policies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1 to the consolidated financial statements in the 2025 Annual Report for an expanded discussion of accounting policies and estimates.</w:t>
      </w:r>
    </w:p>
    <w:p>
      <w:pPr>
        <w:pStyle w:val="TextBody"/>
        <w:bidi w:val="0"/>
        <w:spacing w:lineRule="auto" w:line="288" w:before="180" w:after="283"/>
        <w:jc w:val="left"/>
        <w:rPr>
          <w:rFonts w:ascii="Times New Roman;serif" w:hAnsi="Times New Roman;serif"/>
          <w:b/>
          <w:i/>
          <w:color w:val="000000"/>
          <w:sz w:val="20"/>
        </w:rPr>
      </w:pPr>
      <w:bookmarkStart w:id="0" w:name="ib9568fbb74814b90ba1a7f50717f7aac_48405"/>
      <w:bookmarkEnd w:id="0"/>
      <w:r>
        <w:rPr>
          <w:rFonts w:ascii="Times New Roman;serif" w:hAnsi="Times New Roman;serif"/>
          <w:b/>
          <w:i/>
          <w:color w:val="000000"/>
          <w:sz w:val="20"/>
        </w:rPr>
        <w:t>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is computed by dividing net earnings by the weighted average number of shares of common stock outstanding during the period. The computation of diluted earnings per share includes the dilutive effect of stock options, restricted stock units ("RSUs"), performance share units ("PSUs") and awards issuable under the Company's employee stock purchase plan ("ESPP") (collectively, "share-based awards") as determined under the treasury stock method. The following table shows the calculation of dilutive share-based awards: </w:t>
      </w:r>
    </w:p>
    <w:tbl>
      <w:tblPr>
        <w:tblW w:w="9453" w:type="dxa"/>
        <w:jc w:val="left"/>
        <w:tblInd w:w="0" w:type="dxa"/>
        <w:tblLayout w:type="fixed"/>
        <w:tblCellMar>
          <w:top w:w="28" w:type="dxa"/>
          <w:left w:w="28" w:type="dxa"/>
          <w:bottom w:w="28" w:type="dxa"/>
          <w:right w:w="28" w:type="dxa"/>
        </w:tblCellMar>
      </w:tblPr>
      <w:tblGrid>
        <w:gridCol w:w="1366"/>
        <w:gridCol w:w="1205"/>
        <w:gridCol w:w="1209"/>
        <w:gridCol w:w="496"/>
        <w:gridCol w:w="246"/>
        <w:gridCol w:w="246"/>
        <w:gridCol w:w="246"/>
        <w:gridCol w:w="246"/>
        <w:gridCol w:w="246"/>
        <w:gridCol w:w="496"/>
        <w:gridCol w:w="246"/>
        <w:gridCol w:w="246"/>
        <w:gridCol w:w="109"/>
        <w:gridCol w:w="109"/>
        <w:gridCol w:w="109"/>
        <w:gridCol w:w="444"/>
        <w:gridCol w:w="277"/>
        <w:gridCol w:w="220"/>
        <w:gridCol w:w="220"/>
        <w:gridCol w:w="220"/>
        <w:gridCol w:w="220"/>
        <w:gridCol w:w="444"/>
        <w:gridCol w:w="277"/>
        <w:gridCol w:w="310"/>
      </w:tblGrid>
      <w:tr>
        <w:trPr/>
        <w:tc>
          <w:tcPr>
            <w:tcW w:w="13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40,484 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share-based awards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40,772 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Approximately 392,000 and 480,000 weighted-average share-based awards were excluded from the computation of diluted earnings per share during the three and six months ended June 30, 2026, respectively, as the awards would have been anti-dilutive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Approximately 779,000 and 547,000 weighted-average share-based awards were excluded from the computation of diluted earnings per share during the three and six months ended June 30, 2025, respectively, as the awards would have been anti-dilutive for the periods presented.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00" w:after="283"/>
        <w:jc w:val="left"/>
        <w:rPr/>
      </w:pPr>
      <w:r>
        <w:rPr>
          <w:rFonts w:ascii="Times New Roman;serif" w:hAnsi="Times New Roman;serif"/>
          <w:b w:val="false"/>
          <w:color w:val="000000"/>
          <w:sz w:val="20"/>
        </w:rPr>
        <w:t xml:space="preserve">The Company generates revenue from multiple sources, including leasing arrangements, contracts with customers, and financing and fee income, which are presented within revenues in the condensed consolidated statements of earnings. The Company recognizes revenue in accordance with applicable accounting guidance based on the nature of the underlying transactions, including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and ASC 310,</w:t>
      </w:r>
      <w:r>
        <w:rPr>
          <w:color w:val="000000"/>
        </w:rPr>
        <w:t xml:space="preserve"> </w:t>
      </w:r>
      <w:r>
        <w:rPr>
          <w:rFonts w:ascii="Times New Roman;serif" w:hAnsi="Times New Roman;serif"/>
          <w:b w:val="false"/>
          <w:i/>
          <w:color w:val="000000"/>
          <w:sz w:val="20"/>
        </w:rPr>
        <w:t xml:space="preserve">"Receivables."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material revenue for each reportable segment is described below:</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Progressive Leasing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customer leasing arrangements entered into by Progressive Leasing are accounted for as operating leases under ASC 842. Lease revenue is recognized on a straight-line basis over the estimated lease term.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Initial lease payments made by the customer at lease inception are recorded as deferred revenue and are recognized as lease revenue on a straight-line basis over the estimated lease term. All other customer lease billings are in arrears; accordingly, lease revenue is earned prior to the payment due date and is recorded net of related sales taxes as earned. Cash collected in advance of being due or earned is presented as deferred revenue within customer deposits and advance payments in the accompanying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Payment due date terms include weekly, bi-weekly, semi-monthly and monthly frequencies. Revenue recorded prior to the payment due date results in unbilled receivables, which are recognized in accounts receivable, net of allowances, in the accompanying condensed consolidated balance sheets. Unbilled receivables represent earned but not yet billed lease payments. Lease revenues are recorded net of a provision for uncollectible lease renewal payments.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Initial direct costs related to lease-purchase agreements are capitalized as incurred and amortized as operating expense over the estimated lease term. The capitalized costs have been classified within prepaid expenses and other assets in the accompanying condensed consolidated balance sheets.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generated by Purchasing Power in accordance with ASC 606. Purchasing Power generates revenue through the sale of both products and services. Sales of products generally involve customers purchasing such products directly from Purchasing Power, while sales of services, including sales of product protection plans and travel-related services, are conducted through third parties. Sales of products and services are completed through retail installment arrangements with contractual repayment terms of six, twelve, or eighteen months. Although these installment contracts do not bear a stated interest rate, receivables generated from eighteen-month retail installment sales and certain other customer receivables related to services result in imputed interest revenue that is recognized over the contractual repayment term of receivables pursuant to ASC 606 or ASC 310,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from the sale of products and services is recognized at a point in time when Purchasing Power satisfies its performance obligation. For product sales, this occurs upon the transfer of control of the product from Purchasing Power to the customer, which is generally when the product has been delivered to the customer. For sales of services, Purchasing Power is deemed to have satisfied its performance obligation when it has arranged for the underlying service with the applicable third party for the end-customer.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is recognized net of estimated returns and allowances based on historical experience. Actual returns within policy guidelines are recorded as a reduction to the sales returns allowance. In addition, revenue is recognized net of the related sales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purposes of ASC 606, the Company determines whether Purchasing Power is serving as a principal or an agent with respect to the distinct performance obligation involved in delivering the product or service to the customer. Pursuant to ASC 606, when Purchasing Power is classified as a principal (primarily for product sales), revenue is presented on a gross basis and when Purchasing Power is classified as an agent (primarily for sales of services), revenue is presented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pPr>
      <w:r>
        <w:rPr>
          <w:rFonts w:ascii="Times New Roman;serif" w:hAnsi="Times New Roman;serif"/>
          <w:b w:val="false"/>
          <w:color w:val="000000"/>
          <w:sz w:val="20"/>
        </w:rPr>
        <w:t>The Company applies the practical expedient permitted under ASC 606 for customer contracts with an original expected duration of one year or less and, accordingly, does not adjust the transaction price for contracts qualifying for this expedient. For all Purchasing Power contracts with repayment terms greater than twelve months, the Company adjusts the transaction price for the effects of imputed interest, pursuant to ASC 606, although those contracts do not charge interest. For agent transactions, receivables attributable to amounts remitted to third parties, including payments to principals, taxes, and fees, are accounted for as other receivables and presented separately on the condensed consolidated balance sheets and do not qualify for the practical expedient under ASC 606. The Company imputes interest using an annual rate of generally 20%, which approximates market</w:t>
        <w:noBreakHyphen/>
        <w:t>based rates that would be charged to customers with similar credit risk profiles in standalone financing arrangements at contract inception, pursuant to ASC 606 or ASC 835-30, "</w:t>
      </w:r>
      <w:r>
        <w:rPr>
          <w:rFonts w:ascii="Times New Roman;serif" w:hAnsi="Times New Roman;serif"/>
          <w:b w:val="false"/>
          <w:i/>
          <w:color w:val="000000"/>
          <w:sz w:val="20"/>
        </w:rPr>
        <w:t>Interest."</w:t>
      </w:r>
      <w:r>
        <w:rPr>
          <w:color w:val="000000"/>
        </w:rPr>
        <w:t xml:space="preserve"> </w:t>
      </w:r>
      <w:r>
        <w:rPr>
          <w:rFonts w:ascii="Times New Roman;serif" w:hAnsi="Times New Roman;serif"/>
          <w:b w:val="false"/>
          <w:color w:val="000000"/>
          <w:sz w:val="20"/>
        </w:rPr>
        <w:t>The imputed interest is recognized over the contractual term of the receivables using the effective interest method and recorded as other revenue in the condensed consolidated statements of earnings.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unearned portion of imputed interest is recorded as a reduction of the related receivables in the condensed consolidated balance sheets.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Four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revenues generated from processing fees and late fees charged in connection with its interest-free installment loans originated through Four's BNPL platform. Processing fees represent fees earned as a component of the economics of the underlying consumer loans receivable. Accordingly, the processing fees are recognized as an adjustment to the yield of the related receivables pursuant to ASC 310. Late fees assessed on delinquent receivables are recognized upon collection.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earns subscription revenue from certain consumer applications as well as affiliate fees and interchange revenues. In accordance with ASC 606, revenue is recognized when promised services are provided to the customer. Subscription revenue is recognized as the Company provides continuous access to the underlying services over the subscription term, while affiliate fees and interchange revenue are recognized at a point in time when the performance obligation for the services are provided.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9 to the condensed consolidated financial statements for additional information regarding the Company's revenue arrangements, including the related disaggregation of revenue.</w:t>
      </w:r>
    </w:p>
    <w:p>
      <w:pPr>
        <w:pStyle w:val="TextBody"/>
        <w:bidi w:val="0"/>
        <w:spacing w:lineRule="auto" w:line="288" w:before="180" w:after="283"/>
        <w:jc w:val="left"/>
        <w:rPr>
          <w:rFonts w:ascii="Times New Roman;serif" w:hAnsi="Times New Roman;serif"/>
          <w:b/>
          <w:i/>
          <w:color w:val="000000"/>
          <w:sz w:val="20"/>
        </w:rPr>
      </w:pPr>
      <w:bookmarkStart w:id="1" w:name="ib9568fbb74814b90ba1a7f50717f7aac_48532"/>
      <w:bookmarkEnd w:id="1"/>
      <w:r>
        <w:rPr>
          <w:rFonts w:ascii="Times New Roman;serif" w:hAnsi="Times New Roman;serif"/>
          <w:b/>
          <w:i/>
          <w:color w:val="000000"/>
          <w:sz w:val="20"/>
        </w:rPr>
        <w:t>Accounts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 primarily of receivables due from customers of Progressive Leasing and trade accounts receivable of Purchasing Power.</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Progressive Leasing - Accounts Receivable and Allowance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 accounts receivable represent lease payments due from customers under lease agreements and are presented net of the accounts receivable allowance.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record an allowance for accounts receivable based on historical collection experience. Other qualitative factors, such as current and forecasted business trends, are considered in estimating the allowance. Given the significant uncertainty regarding the impacts of inflation, elevated interest rates, unemployment rates, and tariffs on our business, a level of estimation was involved in determining the allowance. Therefore, actual future accounts receivable write-offs may differ materially from the allowance. The accounts receivable provision is recorded as a reduction of lease revenues and fees within the condensed consolidated statements of earnings. For customer lease agreements that are past due, the Company's policy is to write off lease receivables after 120 days.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 - Acquired Receivables Portfolio</w:t>
      </w:r>
    </w:p>
    <w:p>
      <w:pPr>
        <w:pStyle w:val="TextBody"/>
        <w:bidi w:val="0"/>
        <w:spacing w:lineRule="auto" w:line="288" w:before="100" w:after="283"/>
        <w:jc w:val="left"/>
        <w:rPr/>
      </w:pPr>
      <w:r>
        <w:rPr>
          <w:rFonts w:ascii="Times New Roman;serif" w:hAnsi="Times New Roman;serif"/>
          <w:b w:val="false"/>
          <w:color w:val="000000"/>
          <w:sz w:val="20"/>
        </w:rPr>
        <w:t xml:space="preserve">The Company elected the fair value option for the receivables portfolio acquired in the Purchasing Power acquisition in accordance with ASC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The election was made to align the subsequent measurement of these receivables with their initial recognition at fair value in purchase accounting and to provide a measurement approach that reflects current economic conditions and expected cash flows. Changes in the fair value of acquired receivables attributable to the passage of time, credit performance, discount rates, prepayments, and other valuation assumptions, are recognized as gain on change in fair value of receivables on the Company's condensed consolidated statements of earnings. As these receivables are measured at fair value, no allowance for credit losses is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 - Receivables Originated Post-Acquisition and Allowance for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Receivables originated after the acquisition date are recorded at amortized cost and classified based on the nature of the underlying transaction. The portion of customer receivables attributable to product sales where the Company is (i) deemed a principal and (ii) service</w:t>
        <w:noBreakHyphen/>
        <w:t>based revenues where the Company is deemed an agent are classified as accounts receivable. For eighteen-month retail installment sale agreement receivables, the Company imputes interest over the contractual term in accordance with ASC 606 using an effective interest method. The resulting accretion is recognized as other revenue in the condensed consolidated statements of earnings.</w:t>
      </w:r>
    </w:p>
    <w:p>
      <w:pPr>
        <w:pStyle w:val="TextBody"/>
        <w:bidi w:val="0"/>
        <w:spacing w:lineRule="auto" w:line="288" w:before="100" w:after="283"/>
        <w:jc w:val="left"/>
        <w:rPr/>
      </w:pPr>
      <w:r>
        <w:rPr>
          <w:rFonts w:ascii="Times New Roman;serif" w:hAnsi="Times New Roman;serif"/>
          <w:b w:val="false"/>
          <w:color w:val="000000"/>
          <w:sz w:val="20"/>
        </w:rPr>
        <w:t>The Company estimates expected credit losses on these receivables in accordance with ASC 326, "</w:t>
      </w:r>
      <w:r>
        <w:rPr>
          <w:rFonts w:ascii="Times New Roman;serif" w:hAnsi="Times New Roman;serif"/>
          <w:b w:val="false"/>
          <w:i/>
          <w:color w:val="000000"/>
          <w:sz w:val="20"/>
        </w:rPr>
        <w:t>Credit Losses</w:t>
      </w:r>
      <w:r>
        <w:rPr>
          <w:rFonts w:ascii="Times New Roman;serif" w:hAnsi="Times New Roman;serif"/>
          <w:b w:val="false"/>
          <w:color w:val="000000"/>
          <w:sz w:val="20"/>
        </w:rPr>
        <w:t>," using a lifetime expected loss methodology. The Company has elected the practical expedient that permits an entity to assume that current conditions as of the balance sheet date do not change for the remaining life for the six- and twelve-month installment sale receivables. This practical expedient is not applicable for eighteen-month retail installment sale receivables. The lifetime expected loss allowance incorporates historical loss experience and current portfolio characteristics, and for eighteen-month retail installment sale receivables, a reasonable and supportable forecast of future economic conditions. For periods beyond which economic forecasts are considered reasonable and supportable, expected credit losses revert to historical loss experience. Receivables are charged off against the allowance for credit losses when they are deemed uncollectible, which is generally when amounts are more than 150 days past due.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monitors the credit quality of its Purchasing Power receivables based on the characteristics of customers, clients, and the related collection mechanism. The primary credit quality indicator is whether the receivable relates to a federal government employee or a non-federal government employee. Receivables associated with federal government employees are subject to different risk characteristics, as such individuals may elect to discontinue the allotment deduction arrangements under applicable law. As a result, these receivables may exhibit greater variability in collection patterns compared to non-federal government receivables, which are generally supported by more stable payroll deduction mechanisms. The Company evaluates credit performance and loss expectations for these populations separately and incorporates these distinctions into its estimate of expected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Delinquency status is evaluated at the customer contract level. Accordingly, accounts receivable and other receivables share the same aging characteristics, as they represent components of the same underlying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Credit risk is influenced by the nature of the employer, employment stability, and regulatory factors affecting payroll deduction arrangements, including those applicable to federal government employees. The Company manages credit risk through ongoing monitoring of employers' financial health, monitoring of the customer receivable portfolio performance, and collection activities. The Company's maximum exposure to credit risk is generally represented by the gross carrying amount of its receivables.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Receivables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 primarily represent amounts billed by Purchasing Power to end-customers that are not associated with revenue recognized under ASC 606, including the portion of customer receivables that are service-related costs, sales taxes, and other pass-through charges. Other receivables include both balances acquired as part of the Purchasing Power acquisition and receivables originated subsequent to the acquisition date.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 - Acquired Other Receivables Portfolio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elected the fair value option for other receivables acquired in the Purchasing Power acquisition in accordance with ASC 825. This election aligns the subsequent measurement of these receivables with their initial recognition at fair value in purchase accounting and reflects current economic conditions and expected cash flows. Changes in fair value attributable to the passage of time, credit performance, discount rates, prepayments, and other valuation assumptions are recognized within gain on change in fair value of receivables on the Company's condensed consolidated statements of earnings. As these receivables are measured at fair value, no allowance for credit losses is recorded.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 – Other Receivables Originated Post-Acquisition and Allowance for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 originated subsequent to the acquisition date are recorded at amortized cost within the scope of ASC 310 as they represent contractual rights to receive cash that do not arise from revenue-generating activities. Because these receivables do not bear a stated market rate of interest, the Company imputes interest over the contractual term in accordance with ASC 310 and ASC 835-30, using an effective interest method. The resulting accretion is recognized as other revenue in the condensed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Although these receivables arise in connection with the Company's operating activities, they are accounted for under ASC 310. Accordingly, cash flows related to the origination and collection of these receivables are classified within investing activities in the condensed consolidated statements of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 originated subsequent to the acquisition date are evaluated for expected credit losses in accordance with the Company's allowance for credit losses policy described above, except that the practical expedient relating to the assumption of current conditions does not apply to these receivables. Write-offs are recorded in accordance with the Company's policy for Purchasing Power accounts receivable discussed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Receivables recognized from contracts with customers consist of trade accounts receivable related to Purchasing Power product and service revenues and are presented net of an allowance for credit losses. These receivables represent amounts due from customers for the transfer of goods or services. Receivables classified as other receivables and receivables measured at fair value are excluded from contract balances, as they do not represent consideration for the transfer of goods or services under ASC 606.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may also recognize contract liabilities, which consist primarily of deferred revenue related to product or service arrangements for which consideration has been received in advance of performance. Revenue recognized during the period that was included in contract liabilities at the beginning of the period was not material, and contract liabilities were not material at the end of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applies the practical expedient for contracts with an original expected duration of one year or less and, accordingly, does not disclose remaining performance obligations for such contracts.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Shipping and Handling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Shipping and handling charges billed to Purchasing Power customers are recognized within product sales and services revenue and the corresponding expense is recognized within cost of product sales in the condensed consolidated statements of earnings.</w:t>
      </w:r>
    </w:p>
    <w:p>
      <w:pPr>
        <w:pStyle w:val="TextBody"/>
        <w:bidi w:val="0"/>
        <w:spacing w:lineRule="auto" w:line="288" w:before="180" w:after="283"/>
        <w:jc w:val="left"/>
        <w:rPr>
          <w:rFonts w:ascii="Times New Roman;serif" w:hAnsi="Times New Roman;serif"/>
          <w:b/>
          <w:i/>
          <w:color w:val="000000"/>
          <w:sz w:val="20"/>
        </w:rPr>
      </w:pPr>
      <w:bookmarkStart w:id="2" w:name="ib9568fbb74814b90ba1a7f50717f7aac_48528"/>
      <w:bookmarkEnd w:id="2"/>
      <w:r>
        <w:rPr>
          <w:rFonts w:ascii="Times New Roman;serif" w:hAnsi="Times New Roman;serif"/>
          <w:b/>
          <w:i/>
          <w:color w:val="000000"/>
          <w:sz w:val="20"/>
        </w:rPr>
        <w:t>Lease Merchandise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Leasing's merchandise consists primarily of furniture, appliances, electronics, mobile phones and accessories, jewelry,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including higher fuel costs, tariffs, elevated interest rates, and unemployment rates on our business, a high level of estimation was involved in determining the allowance as of June 30, 2026. Actual lease merchandise write-offs may differ materially from the allowance as of June 30, 2026. For customer lease agreements that are past due, the Company's policy is to write off lease merchandise after 120 days.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the allowance for lease merchandise write-offs, which is included within lease merchandise, net in the condensed consolidated balance sheets:</w:t>
      </w:r>
    </w:p>
    <w:tbl>
      <w:tblPr>
        <w:tblW w:w="8715" w:type="dxa"/>
        <w:jc w:val="center"/>
        <w:tblInd w:w="0" w:type="dxa"/>
        <w:tblLayout w:type="fixed"/>
        <w:tblCellMar>
          <w:top w:w="28" w:type="dxa"/>
          <w:left w:w="28" w:type="dxa"/>
          <w:bottom w:w="28" w:type="dxa"/>
          <w:right w:w="28" w:type="dxa"/>
        </w:tblCellMar>
      </w:tblPr>
      <w:tblGrid>
        <w:gridCol w:w="1275"/>
        <w:gridCol w:w="1123"/>
        <w:gridCol w:w="11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book value of merchandise written 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write-offs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Vendor Incentives and Rebates Provided to POS Partners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$8.4 million and $16.7 million for such additional consideration to POS partners during the three and six months ended June 30, 2026, respectively, compared to $8.0 million and $17.1 million during the three and six months ended June 30, 2025. Expenses related to additional consideration provided to POS partners are classified within operating expenses in the condensed consolidated statements of earnings.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instruments purchased with a maturity of three months or less to be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consists of amounts held in segregated accounts in connection with the Company's financing and securitization arrangements, primarily related to the Purchasing Power business. These amounts are subject to contractual restrictions under the related financing agreements and are not available for general corporate purposes. Restricted cash primarily includes collections on receivables and reserve balances that are required to be maintained to support the related funding structures and satisfy contractual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amount shown in the condensed consolidated statements of cash flows:</w:t>
      </w:r>
    </w:p>
    <w:tbl>
      <w:tblPr>
        <w:tblW w:w="8723" w:type="dxa"/>
        <w:jc w:val="left"/>
        <w:tblInd w:w="0" w:type="dxa"/>
        <w:tblLayout w:type="fixed"/>
        <w:tblCellMar>
          <w:top w:w="28" w:type="dxa"/>
          <w:left w:w="28" w:type="dxa"/>
          <w:bottom w:w="28" w:type="dxa"/>
          <w:right w:w="28" w:type="dxa"/>
        </w:tblCellMar>
      </w:tblPr>
      <w:tblGrid>
        <w:gridCol w:w="2229"/>
        <w:gridCol w:w="1965"/>
        <w:gridCol w:w="1970"/>
        <w:gridCol w:w="211"/>
        <w:gridCol w:w="721"/>
        <w:gridCol w:w="109"/>
        <w:gridCol w:w="109"/>
        <w:gridCol w:w="109"/>
        <w:gridCol w:w="109"/>
        <w:gridCol w:w="211"/>
        <w:gridCol w:w="826"/>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per statement of cash flows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bookmarkStart w:id="3" w:name="ib9568fbb74814b90ba1a7f50717f7aac_48500"/>
      <w:bookmarkEnd w:id="3"/>
      <w:r>
        <w:rPr>
          <w:rFonts w:ascii="Times New Roman;serif" w:hAnsi="Times New Roman;serif"/>
          <w:b/>
          <w:i/>
          <w:color w:val="000000"/>
          <w:sz w:val="20"/>
        </w:rPr>
        <w:t>Loans Receivable,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loans receivable primarily represents amounts due to our Four segment. The allowance and unamortized fees represent estimated uncollectible amounts and unamortized affiliate merchant fee discounts. Loans receivable, net, includes $67.8 million and $84.4 million of outstanding receivables from customers of Four as of June 30, 2026 and December 31, 2025, respectively, with the remainder relating to our other strategic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Expected lifetime losses on loans receivable are recognized upon loan acquisition, which results in recognition of credit losses and requires the Company to make its best estimate of lifetime losses at the time of acquisition. Four segments its loans receivable by delinquency status and evaluates loans receivable collectively for impairment when similar risk characteristics exist.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calculates the Four allowance for loan losses based on internal historical loss information. ASC 326 requires the consideration of reasonable and supportable forecasts of future economic conditions in determining allowances for loan losses. In determining the potential adjustments to the allowance for macroeconomic conditions and forecasted economic data, Four management considers significant current economic trends, market factors, and quarterly forecasts. However, management has concluded that, based on the approximate six-week life of each loan, future macroeconomic conditions and forecasted economic data do not generally have a significant effect on the estimate of the allowance for credit losses on such short-term loans. The Company may also consider other qualitative factors in estimating the allowance, as necessary.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loan losses is maintained at a level considered appropriate to cover expected lifetime losses of principal and fees on active loans in the loans receivable portfolio, and the appropriateness of the allowance is evaluated at each period end. Four's delinquent loans receivable are those that are past due based on their contractual billing dates. Loans receivable are charged off at the end of the month after the loans receivable become 90 days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Four extends or declines credit on an individual transaction basis using its proprietary decisioning platform, without using customer credit ratings. Four instead uses an internal model based on factors such as banking data and user history to generate internal proprietary risk scores. Four assigns an internal risk score of either A, B or C, with an A rating representing the highest credit quality.</w:t>
      </w:r>
    </w:p>
    <w:p>
      <w:pPr>
        <w:pStyle w:val="TextBody"/>
        <w:bidi w:val="0"/>
        <w:spacing w:lineRule="auto" w:line="288" w:before="180" w:after="283"/>
        <w:jc w:val="left"/>
        <w:rPr>
          <w:rFonts w:ascii="Times New Roman;serif" w:hAnsi="Times New Roman;serif"/>
          <w:b/>
          <w:i/>
          <w:color w:val="000000"/>
          <w:sz w:val="20"/>
        </w:rPr>
      </w:pPr>
      <w:bookmarkStart w:id="4" w:name="ib9568fbb74814b90ba1a7f50717f7aac_48483"/>
      <w:bookmarkEnd w:id="4"/>
      <w:r>
        <w:rPr>
          <w:rFonts w:ascii="Times New Roman;serif" w:hAnsi="Times New Roman;serif"/>
          <w:b/>
          <w:i/>
          <w:color w:val="000000"/>
          <w:sz w:val="20"/>
        </w:rPr>
        <w:t>Prepaid Expenses and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of the following:</w:t>
      </w:r>
    </w:p>
    <w:tbl>
      <w:tblPr>
        <w:tblW w:w="8290" w:type="dxa"/>
        <w:jc w:val="left"/>
        <w:tblInd w:w="0" w:type="dxa"/>
        <w:tblLayout w:type="fixed"/>
        <w:tblCellMar>
          <w:top w:w="28" w:type="dxa"/>
          <w:left w:w="28" w:type="dxa"/>
          <w:bottom w:w="28" w:type="dxa"/>
          <w:right w:w="28" w:type="dxa"/>
        </w:tblCellMar>
      </w:tblPr>
      <w:tblGrid>
        <w:gridCol w:w="1915"/>
        <w:gridCol w:w="1687"/>
        <w:gridCol w:w="1692"/>
        <w:gridCol w:w="228"/>
        <w:gridCol w:w="779"/>
        <w:gridCol w:w="117"/>
        <w:gridCol w:w="109"/>
        <w:gridCol w:w="109"/>
        <w:gridCol w:w="109"/>
        <w:gridCol w:w="300"/>
        <w:gridCol w:w="1026"/>
        <w:gridCol w:w="219"/>
      </w:tblGrid>
      <w:tr>
        <w:trPr/>
        <w:tc>
          <w:tcPr>
            <w:tcW w:w="191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lease merchandise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software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initial direct costs on lease agreement originations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Right</w:t>
        <w:noBreakHyphen/>
        <w:t>of</w:t>
        <w:noBreakHyphen/>
        <w:t>use assets and lease liabilities related to operating leases are included in prepaid expenses and other assets and other liabilities on the condensed consolidated balance sheets. In April 2026, the Company amended one of its Atlanta, Georgia office leases, extending the term through July 2032. The amendment was accounted for as a lease modification under ASC 842, resulting in a $3.3 million remeasurement of the associated right-of-use asset and lease liability as of the modification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Inventories relate to Purchasing Power and consist of customer-directed goods in transit for which Purchasing Power assumes ownership during the shipment process and to a lesser extent, returned merchandise. Inventories are stated at the lower of cost or net realizable value.</w:t>
      </w:r>
    </w:p>
    <w:p>
      <w:pPr>
        <w:pStyle w:val="TextBody"/>
        <w:bidi w:val="0"/>
        <w:spacing w:lineRule="auto" w:line="288" w:before="180" w:after="283"/>
        <w:jc w:val="left"/>
        <w:rPr>
          <w:rFonts w:ascii="Times New Roman;serif" w:hAnsi="Times New Roman;serif"/>
          <w:b/>
          <w:i/>
          <w:color w:val="000000"/>
          <w:sz w:val="20"/>
        </w:rPr>
      </w:pPr>
      <w:bookmarkStart w:id="5" w:name="ib9568fbb74814b90ba1a7f50717f7aac_48473"/>
      <w:bookmarkEnd w:id="5"/>
      <w:r>
        <w:rPr>
          <w:rFonts w:ascii="Times New Roman;serif" w:hAnsi="Times New Roman;serif"/>
          <w:b/>
          <w:i/>
          <w:color w:val="000000"/>
          <w:sz w:val="20"/>
        </w:rPr>
        <w:t>Accounts Payable and Accrued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 of the following:</w:t>
      </w:r>
    </w:p>
    <w:tbl>
      <w:tblPr>
        <w:tblW w:w="6528" w:type="dxa"/>
        <w:jc w:val="left"/>
        <w:tblInd w:w="0" w:type="dxa"/>
        <w:tblLayout w:type="fixed"/>
        <w:tblCellMar>
          <w:top w:w="28" w:type="dxa"/>
          <w:left w:w="28" w:type="dxa"/>
          <w:bottom w:w="28" w:type="dxa"/>
          <w:right w:w="28" w:type="dxa"/>
        </w:tblCellMar>
      </w:tblPr>
      <w:tblGrid>
        <w:gridCol w:w="1271"/>
        <w:gridCol w:w="1119"/>
        <w:gridCol w:w="1120"/>
        <w:gridCol w:w="211"/>
        <w:gridCol w:w="826"/>
        <w:gridCol w:w="109"/>
        <w:gridCol w:w="109"/>
        <w:gridCol w:w="109"/>
        <w:gridCol w:w="109"/>
        <w:gridCol w:w="300"/>
        <w:gridCol w:w="1026"/>
        <w:gridCol w:w="219"/>
      </w:tblGrid>
      <w:tr>
        <w:trPr/>
        <w:tc>
          <w:tcPr>
            <w:tcW w:w="127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sales and personal property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vendor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debt consists of corporate borrowings and asset-backed financing arrangements. Debt is recorded at amortized cost, net of unamortized debt issuance costs and original issue discounts, if any. Debt issuance costs are presented as a direct reduction of the related debt liability, except for costs associated with revolving credit facilities, which are recorded within other assets. These costs are amortized to interest expense over the contractual term of the related arrangements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of the Company's financing arrangements are secured by receivables and related cash flows and are accounted for as secured borrowings, as the underlying assets remain on the Company's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Variable-rate debt instruments bear interest based on market indices, including SOFR, plus an applicable margin. As a result, the carrying value of such instruments generally approximates 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Debt may be modified or extinguished from time to time. Modifications are evaluated in accordance with applicable accounting guidance to determine whether they should be accounted for as a continuation of the existing arrangement or as an extinguishment. Gains and losses on extinguishment, when incurred, are recognized in earnings. See Note 7 below and Note 8 to the consolidated financial statements in the 2025 Annual Report for further information regarding the Company's indebtedness.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Variable Interest Entities – Securitizations and 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Purchasing Power finances a portion of its receivable origination activities through a warehouse credit facility and a securitization transaction, which utilize special purpose entities ("SPEs"), including bankruptcy-remote limited liability companies ("LLCs") formed for financing and securitization purposes.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its warehouse credit facility, Purchasing Power's receivables are transferred to the related bankruptcy-remote SPEs from the originating entity, and the SPEs issue notes to third</w:t>
        <w:noBreakHyphen/>
        <w:t>party lenders secured by the underlying receivables and related cash flows. Funding is provided to the SPEs pursuant to contractual advance rates, and the SPEs remit proceeds to Purchasing Power to acquire receivables and finance originations. Borrowings under this facility are generally revolving in nature and are repaid using collections on the underlying receivables or through take</w:t>
        <w:noBreakHyphen/>
        <w:t>out financing in connection with new securitization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 securitization transaction, Purchasing Power transfers receivables to the related bankruptcy</w:t>
        <w:noBreakHyphen/>
        <w:t>remote SPE that issues multiple classes of asset</w:t>
        <w:noBreakHyphen/>
        <w:t>backed notes to third</w:t>
        <w:noBreakHyphen/>
        <w:t>party noteholders. Proceeds from these issuances are used to acquire receivables and finance originations and/or repay existing financing arrangements. The securitization structures include customary credit</w:t>
        <w:noBreakHyphen/>
        <w:t>enhancement features, including overcollateralization, priority of payments (cash flow waterfalls), and reserve accounts.</w:t>
      </w:r>
    </w:p>
    <w:p>
      <w:pPr>
        <w:pStyle w:val="TextBody"/>
        <w:bidi w:val="0"/>
        <w:spacing w:lineRule="auto" w:line="288" w:before="100" w:after="283"/>
        <w:jc w:val="left"/>
        <w:rPr/>
      </w:pPr>
      <w:r>
        <w:rPr>
          <w:rFonts w:ascii="Times New Roman;serif" w:hAnsi="Times New Roman;serif"/>
          <w:b w:val="false"/>
          <w:color w:val="000000"/>
          <w:sz w:val="20"/>
        </w:rPr>
        <w:t>The Company has determined that the SPEs used in Purchasing Power's warehouse credit facility and its securitization are variable interest entities ("VIEs") under ASC 810,</w:t>
      </w:r>
      <w:r>
        <w:rPr>
          <w:color w:val="000000"/>
        </w:rPr>
        <w:t xml:space="preserv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The equity investment in these entities is not sufficient to permit the entities to finance their activities without additional subordinated financial support, and the activities that most significantly impact their economic performance are directed through contractual arrangements rather than through equity voting rights. The Company has concluded that Purchasing Power is the primary beneficiary of these VIEs because it has both: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Power — the Company has the power to direct the activities that most significantly impact the economic performance of the VIEs through its role as sole member of the SPEs, which provides unilateral authority over their operations, and through its role as servicer of the underlying receivables;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Economics — the Company has the obligation to absorb losses and the right to receive benefits that could potentially be significant through its retained residual interests, including subordinated note positions, exposure to overcollateralization requirements, and rights to excess cash flows after payment of noteholder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Accordingly, the VIEs are consolidated in the Company's condensed consolidated financial statements, and the related receivables, warehouse facility borrowings, and asset</w:t>
        <w:noBreakHyphen/>
        <w:t>backed notes issued in the securitization transaction are included in the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contractually required and does not currently intend to provide additional financial support to these VIEs beyond its existing contractual obligations. Although these VIEs are consolidated, they are separate legal entities, and as of June 30, 2026, certain of their assets and liabilities are included in the Company's condensed consolidated balance sheets, including receivables with a total contractual balance of approximately $381.4 million, which are included within receivables and other receivables, restricted cash of $6.3 million, and indebtedness of $293.7 million. The assets of the VIEs, including receivables and restricted cash, are subject to contractual restrictions and may only be used to settle obligations of the respective VIEs. The creditors of the VIEs do not have recourse to the assets or general credit of the Company or its other subsidiaries.</w:t>
      </w:r>
    </w:p>
    <w:p>
      <w:pPr>
        <w:pStyle w:val="TextBody"/>
        <w:bidi w:val="0"/>
        <w:spacing w:lineRule="auto" w:line="288" w:before="180" w:after="283"/>
        <w:jc w:val="left"/>
        <w:rPr>
          <w:rFonts w:ascii="Times New Roman;serif" w:hAnsi="Times New Roman;serif"/>
          <w:b/>
          <w:i/>
          <w:color w:val="000000"/>
          <w:sz w:val="20"/>
        </w:rPr>
      </w:pPr>
      <w:bookmarkStart w:id="6" w:name="ib9568fbb74814b90ba1a7f50717f7aac_48419"/>
      <w:bookmarkEnd w:id="6"/>
      <w:r>
        <w:rPr>
          <w:rFonts w:ascii="Times New Roman;serif" w:hAnsi="Times New Roman;serif"/>
          <w:b/>
          <w:i/>
          <w:color w:val="000000"/>
          <w:sz w:val="20"/>
        </w:rPr>
        <w:t>Goodwill and 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paid over the fair value of the identifiable net tangible and intangible assets acquired in connection with business acquisitions. Progressive Leasing, Purchasing Power and Four have goodwill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is tested for impairment at the reporting unit level annually as of October 1 and more frequently if events or circumstances indicate that the carrying value of a reporting unit may exceed its fair value. Factors which could necessitate an interim impairment assessment include, but are not limited to, a sustained decline in the Company's stock price, adverse industry or economic conditions, significant underperformance relative to historical or projected future operating results, or changes in the Company's strategic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there were no events or circumstances that occurred during the six months ended June 30, 2026 that would more likely than not reduce the fair value of Progressive Leasing, Purchasing Power or Four below their carrying amounts.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 primarily of client and retail partner relationships, trade names, broker relationships, and developed technology acquired in business combinations. Intangible assets with finite useful lives are amortized on a straight-line basis over their estimated useful lives, which reflects the pattern in which the economic benefits of the assets are expected to be consumed. Intangible assets are reviewed for impairment whenever events or changes in circumstances indicate that their carrying amounts may not be recoverable. Recoverability is assessed by comparing the carrying value of the asset to the estimated undiscounted future cash flows expected to result from the use and eventual disposition of the asset. If the carrying amount exceeds those cash flows, an impairment loss is recognized based on the excess of carrying value over 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which consist of certain trademarks and trade names, are not amortized and are tested for impairment annually or more frequently if indicators of impairment exist.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indefinite-lived intangible assets at June 30, 2026 and December 31, 2025:</w:t>
      </w:r>
    </w:p>
    <w:tbl>
      <w:tblPr>
        <w:tblW w:w="5807" w:type="dxa"/>
        <w:jc w:val="left"/>
        <w:tblInd w:w="0" w:type="dxa"/>
        <w:tblLayout w:type="fixed"/>
        <w:tblCellMar>
          <w:top w:w="28" w:type="dxa"/>
          <w:left w:w="28" w:type="dxa"/>
          <w:bottom w:w="28" w:type="dxa"/>
          <w:right w:w="28" w:type="dxa"/>
        </w:tblCellMar>
      </w:tblPr>
      <w:tblGrid>
        <w:gridCol w:w="1009"/>
        <w:gridCol w:w="889"/>
        <w:gridCol w:w="892"/>
        <w:gridCol w:w="211"/>
        <w:gridCol w:w="826"/>
        <w:gridCol w:w="109"/>
        <w:gridCol w:w="109"/>
        <w:gridCol w:w="109"/>
        <w:gridCol w:w="109"/>
        <w:gridCol w:w="273"/>
        <w:gridCol w:w="1072"/>
        <w:gridCol w:w="199"/>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296,061 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349,061 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Definite-Lived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definite-lived intangible assets at June 30, 2026 and December 31, 2025:</w:t>
      </w:r>
    </w:p>
    <w:tbl>
      <w:tblPr>
        <w:tblW w:w="10205" w:type="dxa"/>
        <w:jc w:val="left"/>
        <w:tblInd w:w="0" w:type="dxa"/>
        <w:tblLayout w:type="fixed"/>
        <w:tblCellMar>
          <w:top w:w="28" w:type="dxa"/>
          <w:left w:w="28" w:type="dxa"/>
          <w:bottom w:w="28" w:type="dxa"/>
          <w:right w:w="28" w:type="dxa"/>
        </w:tblCellMar>
      </w:tblPr>
      <w:tblGrid>
        <w:gridCol w:w="759"/>
        <w:gridCol w:w="669"/>
        <w:gridCol w:w="672"/>
        <w:gridCol w:w="211"/>
        <w:gridCol w:w="826"/>
        <w:gridCol w:w="109"/>
        <w:gridCol w:w="109"/>
        <w:gridCol w:w="109"/>
        <w:gridCol w:w="109"/>
        <w:gridCol w:w="211"/>
        <w:gridCol w:w="867"/>
        <w:gridCol w:w="109"/>
        <w:gridCol w:w="109"/>
        <w:gridCol w:w="109"/>
        <w:gridCol w:w="109"/>
        <w:gridCol w:w="211"/>
        <w:gridCol w:w="826"/>
        <w:gridCol w:w="109"/>
        <w:gridCol w:w="211"/>
        <w:gridCol w:w="826"/>
        <w:gridCol w:w="109"/>
        <w:gridCol w:w="109"/>
        <w:gridCol w:w="109"/>
        <w:gridCol w:w="109"/>
        <w:gridCol w:w="211"/>
        <w:gridCol w:w="867"/>
        <w:gridCol w:w="109"/>
        <w:gridCol w:w="109"/>
        <w:gridCol w:w="109"/>
        <w:gridCol w:w="109"/>
        <w:gridCol w:w="211"/>
        <w:gridCol w:w="616"/>
        <w:gridCol w:w="158"/>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Retail partner and broker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Internally 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00" w:after="283"/>
        <w:jc w:val="left"/>
        <w:rPr/>
      </w:pPr>
      <w:r>
        <w:rPr>
          <w:rFonts w:ascii="Times New Roman;serif" w:hAnsi="Times New Roman;serif"/>
          <w:b w:val="false"/>
          <w:color w:val="000000"/>
          <w:sz w:val="20"/>
        </w:rPr>
        <w:t>During the six months ended June 30, 2026, the Company issued 714,648 restricted stock units and 246,703 performance share units to certain employees. The restricted stock units vest over one to three-year periods. The performance share units, for which various business, strategic and compliance goals are the performance metrics, also vest over one- to three-year periods, if they are earned at the end of their one-year performance period. The weighted average fair value of the restricted stock and performance share awards was $36.61, which was based on the fair market value of the Company's common stock on the dates of grant. The Company also issued 124,429 performance share units which may be earned after a three-year vesting period by achieving specified levels of total shareholder return ("TSR") of the Company's common stock relative to the TSR of the S&amp;P 600 Small Cap Index. The fair value of the TSR performance share units was $59.12, which was based on a grant date value using a Monte Carlo simulation model. The Company will recognize the grant date fair value of the restricted stock units and TSR performance share units as stock-based compensation expense over the requisite service period determined in accordance with the terms of the grant agreement.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serif" w:hAnsi="Times New Roman;serif"/>
          <w:b w:val="false"/>
          <w:i/>
          <w:color w:val="000000"/>
          <w:sz w:val="20"/>
        </w:rPr>
        <w:t>Stock-based Compensation</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w:t>
      </w:r>
      <w:bookmarkStart w:id="7" w:name="ib9568fbb74814b90ba1a7f50717f7aac_48446"/>
      <w:bookmarkEnd w:id="7"/>
      <w:r>
        <w:rPr>
          <w:rFonts w:ascii="Times New Roman;serif" w:hAnsi="Times New Roman;serif"/>
          <w:b/>
          <w:i/>
          <w:color w:val="000000"/>
          <w:sz w:val="20"/>
        </w:rPr>
        <w:t>hareholders' Equity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Changes in shareholders' equity for the six months ended June 30, 2026 and 2025 are as follows:</w:t>
      </w:r>
    </w:p>
    <w:tbl>
      <w:tblPr>
        <w:tblW w:w="10227" w:type="dxa"/>
        <w:jc w:val="left"/>
        <w:tblInd w:w="0" w:type="dxa"/>
        <w:tblLayout w:type="fixed"/>
        <w:tblCellMar>
          <w:top w:w="28" w:type="dxa"/>
          <w:left w:w="28" w:type="dxa"/>
          <w:bottom w:w="28" w:type="dxa"/>
          <w:right w:w="28" w:type="dxa"/>
        </w:tblCellMar>
      </w:tblPr>
      <w:tblGrid>
        <w:gridCol w:w="559"/>
        <w:gridCol w:w="268"/>
        <w:gridCol w:w="269"/>
        <w:gridCol w:w="330"/>
        <w:gridCol w:w="331"/>
        <w:gridCol w:w="196"/>
        <w:gridCol w:w="109"/>
        <w:gridCol w:w="109"/>
        <w:gridCol w:w="109"/>
        <w:gridCol w:w="196"/>
        <w:gridCol w:w="886"/>
        <w:gridCol w:w="109"/>
        <w:gridCol w:w="109"/>
        <w:gridCol w:w="109"/>
        <w:gridCol w:w="109"/>
        <w:gridCol w:w="323"/>
        <w:gridCol w:w="323"/>
        <w:gridCol w:w="196"/>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200"/>
        <w:gridCol w:w="752"/>
        <w:gridCol w:w="159"/>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(1,252,890)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746,417 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$0.14 per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Reissued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774,355 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$0.14 per share</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Reissued shares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(42,247)</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805,340 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27" w:type="dxa"/>
        <w:jc w:val="left"/>
        <w:tblInd w:w="0" w:type="dxa"/>
        <w:tblLayout w:type="fixed"/>
        <w:tblCellMar>
          <w:top w:w="28" w:type="dxa"/>
          <w:left w:w="28" w:type="dxa"/>
          <w:bottom w:w="28" w:type="dxa"/>
          <w:right w:w="28" w:type="dxa"/>
        </w:tblCellMar>
      </w:tblPr>
      <w:tblGrid>
        <w:gridCol w:w="559"/>
        <w:gridCol w:w="268"/>
        <w:gridCol w:w="269"/>
        <w:gridCol w:w="330"/>
        <w:gridCol w:w="331"/>
        <w:gridCol w:w="196"/>
        <w:gridCol w:w="109"/>
        <w:gridCol w:w="109"/>
        <w:gridCol w:w="109"/>
        <w:gridCol w:w="196"/>
        <w:gridCol w:w="886"/>
        <w:gridCol w:w="109"/>
        <w:gridCol w:w="109"/>
        <w:gridCol w:w="109"/>
        <w:gridCol w:w="109"/>
        <w:gridCol w:w="323"/>
        <w:gridCol w:w="323"/>
        <w:gridCol w:w="196"/>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200"/>
        <w:gridCol w:w="752"/>
        <w:gridCol w:w="159"/>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$0.13 per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Reissued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Repurchased shares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(1,230,576)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654,448 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$0.13 per share</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1,531,768 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668,673 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Level 1—Valuations based on quoted prices for identical assets and liabilities in active markets.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Level 3—Valuations based on unobservable inputs reflecting the Company's own assumptions, consistent with reasonably available assumptions made by other market participants. These valuations require significant judgment.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a liability related to its non-qualified deferred compensation plan, which represents benefits accrued for plan participants and is valued at the quoted market prices of the participants' investment election, at fair value on a recurring basis. Receivables associated with the Purchasing Power acquired portfolio are measured at fair value on a recurring basis pursuant to the Company's election of the fair value option under ASC 825. The Company maintains certain financial assets and liabilities that are not measured at fair value but for which fair value is disclosed.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other current financial assets and liabilities, including cash and cash equivalents, certain receivables and accounts payable, approximate their carrying values due to their short-term nature. See Note 6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bookmarkStart w:id="8" w:name="ib9568fbb74814b90ba1a7f50717f7aac_48413"/>
      <w:bookmarkEnd w:id="8"/>
      <w:r>
        <w:rPr>
          <w:rFonts w:ascii="Times New Roman;serif" w:hAnsi="Times New Roman;serif"/>
          <w:b/>
          <w:i/>
          <w:color w:val="000000"/>
          <w:sz w:val="20"/>
        </w:rPr>
        <w:t>Recent Accounting Pronouncements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Adopted</w:t>
      </w:r>
    </w:p>
    <w:p>
      <w:pPr>
        <w:pStyle w:val="TextBody"/>
        <w:bidi w:val="0"/>
        <w:spacing w:lineRule="auto" w:line="288" w:before="100" w:after="283"/>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("ASU 2025-05"), which provides a practical expedient related to the estimation of expected credit losses for current accounts receivable and current contract assets that arise from transactions accounted for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practical expedient permits an entity to assume that current conditions as of the balance sheet date do not change for the remaining life of the current accounts receivable and current contract assets. ASU 2025-05 is effective for annual and interim periods beginning after December 15, 2025 on a prospective basis, with early adoption permitted. The Company adopted this guidance on January 1, 2026 on a prospective basis. The practical expedient is primarily applicable to Purchasing Power's six- and twelve-month retail installment agreements classified as accounts receivable. There was no material impact on our financial position or results of operations.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Not Yet Adopted</w:t>
      </w:r>
    </w:p>
    <w:p>
      <w:pPr>
        <w:pStyle w:val="TextBody"/>
        <w:bidi w:val="0"/>
        <w:spacing w:lineRule="auto" w:line="288" w:before="10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more detailed disclosures of certain categories of expenses, such as employee compensation, depreciation, and intangible asset amortization that are components of existing expense captions presented on the face of the income statement. ASU 2024-03 is effective for annual reporting periods beginning after December 15, 2026, and interim reporting periods beginning after December 15, 2027. Early adoption is permitted. The Company is currently evaluating the effect that this standard will have on its financial statement disclosures.</w:t>
      </w:r>
    </w:p>
    <w:p>
      <w:pPr>
        <w:pStyle w:val="TextBody"/>
        <w:bidi w:val="0"/>
        <w:spacing w:lineRule="auto" w:line="288" w:before="100" w:after="283"/>
        <w:jc w:val="left"/>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 xml:space="preserve">"Intangibles - Goodwill and Other - Internal Use Software (Subtopic 350-40): Targeted Improvements to the Accounting for Internal-Use Software" </w:t>
      </w:r>
      <w:r>
        <w:rPr>
          <w:rFonts w:ascii="Times New Roman;serif" w:hAnsi="Times New Roman;serif"/>
          <w:b w:val="false"/>
          <w:color w:val="000000"/>
          <w:sz w:val="20"/>
        </w:rPr>
        <w:t>("ASU 2025-06"). ASU 2025-06 updates the accounting for internal-use software by replacing former stage-based rules with a principles-based framework. Entities will now capitalize costs associated with internal-use software only when management has authorized and committed funding and it is probable that the project will be completed and the software will be used to perform the intended function. ASU 2025-06 also supersedes website development cost guidance, moving it to ASC 350-40. These amendments are effective for interim and annual periods beginning after December 15, 2027, with early adoption permitted. The Company is currently evaluating the impact of this standard on its consolidated financial statements and related disclosures.</w:t>
      </w:r>
    </w:p>
    <w:p>
      <w:pPr>
        <w:pStyle w:val="TextBody"/>
        <w:bidi w:val="0"/>
        <w:spacing w:lineRule="auto" w:line="288" w:before="100" w:after="283"/>
        <w:jc w:val="left"/>
        <w:rPr/>
      </w:pPr>
      <w:r>
        <w:rPr>
          <w:rFonts w:ascii="Times New Roman;serif" w:hAnsi="Times New Roman;serif"/>
          <w:b w:val="false"/>
          <w:color w:val="000000"/>
          <w:sz w:val="20"/>
        </w:rPr>
        <w:t>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adopting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2. ACQUISITION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Acquisition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(the "Acquisition Date"), PROG Beach, LLC ("PROG Beach"), a wholly owned subsidiary of the Company, acquired 100% of the issued and outstanding equity interests of Purchasing Power from Purchasing Power Parent, LLC (the "Seller") pursuant to a Unit Purchase Agreement dated December 1, 2025. Purchasing Power is a voluntary employee benefit program provider that allows employees of participating organizations to purchase brand</w:t>
        <w:noBreakHyphen/>
        <w:t>name products and services through payroll deduction or allotment arrangements.</w:t>
      </w:r>
    </w:p>
    <w:p>
      <w:pPr>
        <w:pStyle w:val="TextBody"/>
        <w:bidi w:val="0"/>
        <w:spacing w:lineRule="auto" w:line="288" w:before="100" w:after="283"/>
        <w:jc w:val="left"/>
        <w:rPr/>
      </w:pPr>
      <w:r>
        <w:rPr>
          <w:rFonts w:ascii="Times New Roman;serif" w:hAnsi="Times New Roman;serif"/>
          <w:b w:val="false"/>
          <w:color w:val="000000"/>
          <w:sz w:val="20"/>
        </w:rPr>
        <w:t xml:space="preserve">The transaction has been accounted for as a business combination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Purchasing Power's results of operations have been included in the Company's condensed consolidated financial statements from the Acquisition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Management expects the acquisition to meaningfully expand the Company's platform by broadening consumers' access to flexible, inclusive and convenient payment options across high-demand categories and to strengthen the Company's partner ecosystem through Purchasing Power's more than 360 employer-client relationships and benefit-broker distribution channel.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Consideration Transferred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total consideration transferred for purposes of ASC 805 was $424.2 million. The consideration was paid entirely in cash and consisted of the following components:</w:t>
      </w:r>
    </w:p>
    <w:tbl>
      <w:tblPr>
        <w:tblW w:w="7323" w:type="dxa"/>
        <w:jc w:val="left"/>
        <w:tblInd w:w="0" w:type="dxa"/>
        <w:tblLayout w:type="fixed"/>
        <w:tblCellMar>
          <w:top w:w="28" w:type="dxa"/>
          <w:left w:w="28" w:type="dxa"/>
          <w:bottom w:w="28" w:type="dxa"/>
          <w:right w:w="28" w:type="dxa"/>
        </w:tblCellMar>
      </w:tblPr>
      <w:tblGrid>
        <w:gridCol w:w="2104"/>
        <w:gridCol w:w="1847"/>
        <w:gridCol w:w="1854"/>
        <w:gridCol w:w="109"/>
        <w:gridCol w:w="109"/>
        <w:gridCol w:w="109"/>
        <w:gridCol w:w="211"/>
        <w:gridCol w:w="826"/>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5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to Seller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Indebtedness of the Seller settled in cash by the Company at closing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Transaction-related costs of the Seller paid by the Company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placed in escrow for general representations and warranties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consideration transferred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consideration transferred comprises a $420 million negotiated purchase price plus $4.2 million of asset-backed indebtedness of the Seller that was repaid by the Company at closing.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consideration transferred did not include any contingent consideration. The escrow arrangement relates only to general representations and warranties that were valid as of the Acquisition Date and, accordingly, was included in consideration transferred rather than accounted for as contingent consideration, as the amounts are not contingent on future events.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incurred $10.7 million of acquisition-related costs during the six months ended June 30, 2026, which were recorded within operating expenses in the condensed consolidated statements of earnings, and are not included in consideration transferred. The Company incurred approximately $2.2 million of acquisition-related costs in the year ended December 31, 2025 related to this transaction.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acquired assets and assumed liabilities were determined using valuation techniques that require significant management judgment, including the use of unobservable inputs. The valuation methodologies applied were consistent with those that a market participant would use in measuring 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Receivables were measured at fair value using discounted cash flow methodologies that considered expected cash collections, default assumptions, prepayment behavior, and market</w:t>
        <w:noBreakHyphen/>
        <w:t>based discount rates. The gross contractual amounts receivable and the expected credit losses are reflected in the fair value measurement; accordingly, no allowance for credit losses was recorded at acquisition.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including customer relationships, broker network relationships, trade names, and developed technology, were valued using income</w:t>
        <w:noBreakHyphen/>
        <w:t>based and cost</w:t>
        <w:noBreakHyphen/>
        <w:t>based approaches. Customer relationships and broker network intangibles were valued using the multi</w:t>
        <w:noBreakHyphen/>
        <w:t>period excess earnings method, using attrition rates based on historical experience. Trade names were valued using the relief</w:t>
        <w:noBreakHyphen/>
        <w:t>from</w:t>
        <w:noBreakHyphen/>
        <w:t>royalty method, using royalty rates based on market participant assumptions. Developed technology was valued using the replacement cost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fair value measurements are classified as Level 3 measurements within the fair value hierarchy.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a preliminary allocation of the purchase price to the identifiable assets acquired and liabilities assumed based on their estimated fair values as of the Acquisition Date. The valuation of certain accrued liabilities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preliminary. Accordingly, the purchase price allocation is subject to adjustment during the measurement period (not to exceed one year from the Acquisition Date) as additional information becomes available and such changes may result in adjustments to goodwill.</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Allocation of the Purchase Consideration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purchase consideration to the estimated fair values of the assets acquired and liabilities assumed as of January 2, 2026:</w:t>
      </w:r>
    </w:p>
    <w:tbl>
      <w:tblPr>
        <w:tblW w:w="10205" w:type="dxa"/>
        <w:jc w:val="left"/>
        <w:tblInd w:w="0" w:type="dxa"/>
        <w:tblLayout w:type="fixed"/>
        <w:tblCellMar>
          <w:top w:w="28" w:type="dxa"/>
          <w:left w:w="28" w:type="dxa"/>
          <w:bottom w:w="28" w:type="dxa"/>
          <w:right w:w="28" w:type="dxa"/>
        </w:tblCellMar>
      </w:tblPr>
      <w:tblGrid>
        <w:gridCol w:w="2122"/>
        <w:gridCol w:w="1852"/>
        <w:gridCol w:w="1857"/>
        <w:gridCol w:w="774"/>
        <w:gridCol w:w="3033"/>
        <w:gridCol w:w="567"/>
      </w:tblGrid>
      <w:tr>
        <w:trPr/>
        <w:tc>
          <w:tcPr>
            <w:tcW w:w="212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5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437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6"/>
              </w:rPr>
            </w:pPr>
            <w:r>
              <w:rPr>
                <w:rFonts w:ascii="Times New Roman;serif" w:hAnsi="Times New Roman;serif"/>
                <w:b/>
                <w:color w:val="000000"/>
                <w:sz w:val="16"/>
              </w:rPr>
              <w:t>Amounts recognized as of acquisition date (January 2, 2026)</w:t>
            </w:r>
          </w:p>
        </w:tc>
      </w:tr>
      <w:tr>
        <w:trPr/>
        <w:tc>
          <w:tcPr>
            <w:tcW w:w="5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Aggregate purchase price</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424,227 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fair value of identifiable assets acquired and liabilities assumed</w:t>
            </w:r>
          </w:p>
        </w:tc>
        <w:tc>
          <w:tcPr>
            <w:tcW w:w="4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1</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355,993 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receivables</w:t>
            </w:r>
            <w:r>
              <w:rPr>
                <w:rFonts w:ascii="Times New Roman;serif" w:hAnsi="Times New Roman;serif"/>
                <w:b w:val="false"/>
                <w:color w:val="000000"/>
                <w:sz w:val="13"/>
              </w:rPr>
              <w:t>1</w:t>
            </w:r>
          </w:p>
        </w:tc>
        <w:tc>
          <w:tcPr>
            <w:tcW w:w="3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35,143 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vAlign w:val="center"/>
          </w:tcPr>
          <w:p>
            <w:pPr>
              <w:pStyle w:val="TableContents"/>
              <w:bidi w:val="0"/>
              <w:spacing w:before="0" w:after="283"/>
              <w:jc w:val="left"/>
              <w:rPr>
                <w:sz w:val="4"/>
                <w:szCs w:val="4"/>
              </w:rPr>
            </w:pPr>
            <w:r>
              <w:rPr>
                <w:sz w:val="4"/>
                <w:szCs w:val="4"/>
              </w:rPr>
            </w:r>
          </w:p>
        </w:tc>
        <w:tc>
          <w:tcPr>
            <w:tcW w:w="4374" w:type="dxa"/>
            <w:gridSpan w:val="3"/>
            <w:tcBorders/>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319,000 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3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759,363 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(85,213)</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funding debt</w:t>
            </w:r>
          </w:p>
        </w:tc>
        <w:tc>
          <w:tcPr>
            <w:tcW w:w="3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(338,608)</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vAlign w:val="center"/>
          </w:tcPr>
          <w:p>
            <w:pPr>
              <w:pStyle w:val="TableContents"/>
              <w:bidi w:val="0"/>
              <w:spacing w:before="0" w:after="283"/>
              <w:jc w:val="left"/>
              <w:rPr>
                <w:sz w:val="4"/>
                <w:szCs w:val="4"/>
              </w:rPr>
            </w:pPr>
            <w:r>
              <w:rPr>
                <w:sz w:val="4"/>
                <w:szCs w:val="4"/>
              </w:rPr>
            </w:r>
          </w:p>
        </w:tc>
        <w:tc>
          <w:tcPr>
            <w:tcW w:w="4374" w:type="dxa"/>
            <w:gridSpan w:val="3"/>
            <w:tcBorders/>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3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(445,789)</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2</w:t>
            </w:r>
          </w:p>
        </w:tc>
        <w:tc>
          <w:tcPr>
            <w:tcW w:w="3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110,653 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424,227 </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gross contractual unpaid principal balance of acquired installment accounts receivable and other receivables, which are $324.0 million and $35.1 million, respectively, was $426.3 million, and the Company expects to collect $370.7 million. Accounts receivable also includes $32.0 million of client receivables, which the Company expects will be fully paid.</w:t>
      </w:r>
    </w:p>
    <w:p>
      <w:pPr>
        <w:pStyle w:val="TextBody"/>
        <w:bidi w:val="0"/>
        <w:spacing w:lineRule="auto" w:line="288" w:before="60" w:after="283"/>
        <w:ind w:left="0" w:right="0" w:hanging="9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excess of the purchase consideration over the estimated fair value of the net identifiable assets acquired has been recorded as 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remains preliminary as of June 30, 2026. During the three months ended June 30, 2026, no measurement period adjustments were recorded.</w:t>
      </w:r>
    </w:p>
    <w:p>
      <w:pPr>
        <w:pStyle w:val="TextBody"/>
        <w:bidi w:val="0"/>
        <w:spacing w:lineRule="auto" w:line="288" w:before="180" w:after="283"/>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Goodwill and 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Goodwill primarily reflects the expected synergies from combining Purchasing Power's payroll-deduction purchasing platform, employer and broker relationships, and proprietary technology with the Company's existing consumer payment solutions. These synergies include anticipated revenue enhancements from cross-selling the Company's lease-to-own and payment solutions to Purchasing Power's existing employer-sponsored customer base, as well as the ability to offer Purchasing Power's payroll-deduction purchasing capabilities to the Company's existing retail and e-commerce partner network.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expects to realize operational efficiencies and cost savings through the integration of technology platforms, consolidation of certain corporate and administrative functions, and optimization of funding and servicing operations. Goodwill also reflects the value of the assembled workforce and other intangible benefits that do not qualify for separate recognition under ASC 805. All goodwill recognized has been assigned to the Purchasing Power reporting unit. The goodwill is partially deductible for income tax purposes based on the structure of the acquisition. Approximately $77.2 million of the goodwill is expected to be deductible and amortizable for tax purposes, with the remainder not expected to be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intangible assets attributable to the acquisition are comprised of the following:</w:t>
      </w:r>
    </w:p>
    <w:tbl>
      <w:tblPr>
        <w:tblW w:w="6033" w:type="dxa"/>
        <w:jc w:val="left"/>
        <w:tblInd w:w="0" w:type="dxa"/>
        <w:tblLayout w:type="fixed"/>
        <w:tblCellMar>
          <w:top w:w="28" w:type="dxa"/>
          <w:left w:w="28" w:type="dxa"/>
          <w:bottom w:w="28" w:type="dxa"/>
          <w:right w:w="28" w:type="dxa"/>
        </w:tblCellMar>
      </w:tblPr>
      <w:tblGrid>
        <w:gridCol w:w="1005"/>
        <w:gridCol w:w="883"/>
        <w:gridCol w:w="887"/>
        <w:gridCol w:w="211"/>
        <w:gridCol w:w="826"/>
        <w:gridCol w:w="109"/>
        <w:gridCol w:w="109"/>
        <w:gridCol w:w="109"/>
        <w:gridCol w:w="109"/>
        <w:gridCol w:w="522"/>
        <w:gridCol w:w="522"/>
        <w:gridCol w:w="741"/>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Fair value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Weighted average life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Broker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acquired intangible assets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Acquired definite-lived intangible assets have a total weighted average life of 10.8 years.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Acquisition Financing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conjunction with the acquisition, on January 2, 2026, the Company entered into a fourth amendment to its existing credit facility, under which the Company obtained a $125.0 million incremental term loan and borrowed an additional $135.0 million under its revolving facility. The proceeds, together with cash on hand, were used to fund the cash consideration paid at closing and related transaction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Purchasing Power had $338.6 million of non-recourse funding debt under its securitization and warehouse facilities. This non-recourse funding debt remained in place, and has been recorded at fair value as of the acquisition date and is reflected as liabilities in the preliminary purchase price allocation. The funding debt is secured solely by the related receivables and is non-recourse to the Company's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7 for additional information regarding the Company's debt arrangements.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Supplemental Pro Forma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unaudited pro forma information presents the combined results of operations of the Company as if the acquisition of Purchasing Power had occurred on January 1, 2025:</w:t>
      </w:r>
    </w:p>
    <w:tbl>
      <w:tblPr>
        <w:tblW w:w="9495" w:type="dxa"/>
        <w:jc w:val="left"/>
        <w:tblInd w:w="0" w:type="dxa"/>
        <w:tblLayout w:type="fixed"/>
        <w:tblCellMar>
          <w:top w:w="28" w:type="dxa"/>
          <w:left w:w="28" w:type="dxa"/>
          <w:bottom w:w="28" w:type="dxa"/>
          <w:right w:w="28" w:type="dxa"/>
        </w:tblCellMar>
      </w:tblPr>
      <w:tblGrid>
        <w:gridCol w:w="1297"/>
        <w:gridCol w:w="1142"/>
        <w:gridCol w:w="114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information reflects adjustments directly attributable to the acquisition, including amortization of acquired intangible assets, financing effects, and related tax impacts. The pro forma information does not include the effects of expected synergies, integration activities, or other nonrecurring items, and is not necessarily indicative of future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acquisition, net of cash and restricted cash acquired of $32.4 million, was $391.8 million and is included within investing activities in the condensed consolidated statements of cash flows for the six months ended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Purchasing Power contributed revenues of $130.4 million and a pre-tax net loss of $0.3 million to the Company's condensed consolidated results of operations. For the six months ended June 30, 2026, Purchasing Power contributed revenues of $237.5 million and a pre-tax net loss of $7.8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3. DISCONTINUED OPERATIONS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Separation and Wind-Down of Vive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October 20, 2025, PROG Holdings completed the sale of substantially all of Vive's loans receivable portfolio to Fortiva Funding LLC ("Fortiva"). The results of Vive are reported as discontinued operations for all periods presented. See Note 2 to the consolidated financial statements in the Company's Form 10-K for the year ended December 31, 2025 for additional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the sale, the Company's remaining activities related to Vive are limited to transition services and temporary arrangements intended to facilitate the orderly transfer of the business to Fortiva and do not represent ongoing operations of the Company.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Continuing Involvement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Following the cut-off date of the sale, Vive continued to originate new credit card receivables for a short period of time under existing merchant agreements, until origination services could be transferred to Fortiva. These receivables are owned by Vive and are expected to be resolved over time through a sale or other disposition. Because these activities are directly related to the disposed credit card business and occurred only to facilitate the transition of merchant relationships, the related revenues and expenses are included in discontinued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Summarized Financial Information of Discontinued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line items constituting the operations of Vive, which are included within the (loss) earnings from discontinued operations, net of income tax, in the condensed consolidated statements of earnings and the operating and investing cash flows of the discontinued operations.</w:t>
      </w:r>
    </w:p>
    <w:tbl>
      <w:tblPr>
        <w:tblW w:w="10205" w:type="dxa"/>
        <w:jc w:val="left"/>
        <w:tblInd w:w="0" w:type="dxa"/>
        <w:tblLayout w:type="fixed"/>
        <w:tblCellMar>
          <w:top w:w="28" w:type="dxa"/>
          <w:left w:w="28" w:type="dxa"/>
          <w:bottom w:w="28" w:type="dxa"/>
          <w:right w:w="28" w:type="dxa"/>
        </w:tblCellMar>
      </w:tblPr>
      <w:tblGrid>
        <w:gridCol w:w="1832"/>
        <w:gridCol w:w="1515"/>
        <w:gridCol w:w="1520"/>
        <w:gridCol w:w="109"/>
        <w:gridCol w:w="109"/>
        <w:gridCol w:w="109"/>
        <w:gridCol w:w="211"/>
        <w:gridCol w:w="526"/>
        <w:gridCol w:w="109"/>
        <w:gridCol w:w="109"/>
        <w:gridCol w:w="109"/>
        <w:gridCol w:w="109"/>
        <w:gridCol w:w="211"/>
        <w:gridCol w:w="721"/>
        <w:gridCol w:w="109"/>
        <w:gridCol w:w="109"/>
        <w:gridCol w:w="109"/>
        <w:gridCol w:w="109"/>
        <w:gridCol w:w="211"/>
        <w:gridCol w:w="676"/>
        <w:gridCol w:w="109"/>
        <w:gridCol w:w="109"/>
        <w:gridCol w:w="109"/>
        <w:gridCol w:w="109"/>
        <w:gridCol w:w="211"/>
        <w:gridCol w:w="781"/>
        <w:gridCol w:w="155"/>
      </w:tblGrid>
      <w:tr>
        <w:trPr/>
        <w:tc>
          <w:tcPr>
            <w:tcW w:w="183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flows</w:t>
            </w:r>
            <w:r>
              <w:rPr>
                <w:rFonts w:ascii="Times New Roman;serif" w:hAnsi="Times New Roman;serif"/>
                <w:b/>
                <w:color w:val="000000"/>
                <w:sz w:val="13"/>
              </w:rPr>
              <w:t>1</w:t>
            </w:r>
            <w:r>
              <w:rPr>
                <w:rFonts w:ascii="Times New Roman;serif" w:hAnsi="Times New Roman;serif"/>
                <w:b/>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provided by operating activities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Vive did not generate cash flows from financing activities for the periods presented.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assets and liabilities of discontinued operations as of June 30, 2026 and December 31, 2025:</w:t>
      </w:r>
    </w:p>
    <w:tbl>
      <w:tblPr>
        <w:tblW w:w="6923" w:type="dxa"/>
        <w:jc w:val="left"/>
        <w:tblInd w:w="0" w:type="dxa"/>
        <w:tblLayout w:type="fixed"/>
        <w:tblCellMar>
          <w:top w:w="28" w:type="dxa"/>
          <w:left w:w="28" w:type="dxa"/>
          <w:bottom w:w="28" w:type="dxa"/>
          <w:right w:w="28" w:type="dxa"/>
        </w:tblCellMar>
      </w:tblPr>
      <w:tblGrid>
        <w:gridCol w:w="1301"/>
        <w:gridCol w:w="1148"/>
        <w:gridCol w:w="1151"/>
        <w:gridCol w:w="109"/>
        <w:gridCol w:w="109"/>
        <w:gridCol w:w="109"/>
        <w:gridCol w:w="228"/>
        <w:gridCol w:w="779"/>
        <w:gridCol w:w="117"/>
        <w:gridCol w:w="109"/>
        <w:gridCol w:w="109"/>
        <w:gridCol w:w="109"/>
        <w:gridCol w:w="300"/>
        <w:gridCol w:w="1026"/>
        <w:gridCol w:w="219"/>
      </w:tblGrid>
      <w:tr>
        <w:trPr/>
        <w:tc>
          <w:tcPr>
            <w:tcW w:w="13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4. ACCOUNTS RECEIVABLE AND OTHER RECEIVABLES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receivables consist of the following:</w:t>
      </w:r>
    </w:p>
    <w:tbl>
      <w:tblPr>
        <w:tblW w:w="7966" w:type="dxa"/>
        <w:jc w:val="left"/>
        <w:tblInd w:w="0" w:type="dxa"/>
        <w:tblLayout w:type="fixed"/>
        <w:tblCellMar>
          <w:top w:w="28" w:type="dxa"/>
          <w:left w:w="28" w:type="dxa"/>
          <w:bottom w:w="28" w:type="dxa"/>
          <w:right w:w="28" w:type="dxa"/>
        </w:tblCellMar>
      </w:tblPr>
      <w:tblGrid>
        <w:gridCol w:w="1789"/>
        <w:gridCol w:w="1577"/>
        <w:gridCol w:w="1583"/>
        <w:gridCol w:w="211"/>
        <w:gridCol w:w="826"/>
        <w:gridCol w:w="109"/>
        <w:gridCol w:w="109"/>
        <w:gridCol w:w="109"/>
        <w:gridCol w:w="109"/>
        <w:gridCol w:w="273"/>
        <w:gridCol w:w="1072"/>
        <w:gridCol w:w="199"/>
      </w:tblGrid>
      <w:tr>
        <w:trPr/>
        <w:tc>
          <w:tcPr>
            <w:tcW w:w="178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Accounts receivable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 accounts receivable: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 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accounts receivable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 accounts receivable,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affiliate and interchange fees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accounts receivable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acquired portfolio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post-acquisition portfolio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 post-acquisition portfolio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unearned interest income - post-acquisition portfolio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Client and miscellaneous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accounts receivable,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receivables - Purchasing Power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 - acquired portfolio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 - post-acquisition portfolio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 post-acquisition portfolio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unearned interest income - post-acquisition portfolio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receivables,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Progressive Leasing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 accounts receivable represent lease payments due from customers and are presented net of an accounts receivable allowance.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lease receivable allowance related to Progressive Leasing:</w:t>
      </w:r>
    </w:p>
    <w:tbl>
      <w:tblPr>
        <w:tblW w:w="9627"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book value of accounts receivable written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Purchasing Power receivables consist of amounts acquired in the acquisition of Purchasing Power, LLC on January 2, 2026 and receivables originated subsequent to the acquisition date. These receivables are classified as either accounts receivable or other receivables based on the nature of the underlying transaction, consistent with the Company's accounting policies described in Note 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Receivables acquired in the acquisition, including both accounts receivable and other receivables, are measured at fair value in accordance with the fair value option. During the three and six months ended June 30, 2026, the Company recognized a $1.8 million and $7.5 million gain on change in the fair value of receivables, respectively, which includes $2.9 million and $9.4 million of interest income accretion offset by $1.1 million and $1.9 million of changes in the fair value for the three and six months ended June 30, 2026, respectively. Receivables originated subsequent to the acquisition date are measured at amortized cost. Additional information regarding measurement and income or loss recognition is included in Note 1.</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represent amounts due from customers associated with product sales and commission-based service revenues and are presented net of an allowance for credit losses and unearned interest income.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receivables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 represent amounts billed to end users that are not associated with revenue recognized under ASC 606, including the portion of customer receivables that are service-related costs, sales taxes, and other pass-through charges. These amounts arise in connection with transactions in which the Company facilitates the sale of third-party services as an agent in the transaction and subsequently collects the total contractual consideration from the end-customer.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 include both acquired and originated balances. Originated other receivables are presented separately and interest is imputed over the contract terms. Cash flows associated with originated other receivables are classified as investing activities in the condensed consolidated statements of cash flows.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for Purchasing Power receivables originated post-acquisition, including both accounts receivable and other receivables, reflects management's estimate of lifetime expected credit losses and is determined in accordance with the Company's policy described in Note 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allowance for credit losses related to Purchasing Power post-acquisition receivables:</w:t>
      </w:r>
    </w:p>
    <w:tbl>
      <w:tblPr>
        <w:tblW w:w="10158" w:type="dxa"/>
        <w:jc w:val="left"/>
        <w:tblInd w:w="0" w:type="dxa"/>
        <w:tblLayout w:type="fixed"/>
        <w:tblCellMar>
          <w:top w:w="28" w:type="dxa"/>
          <w:left w:w="28" w:type="dxa"/>
          <w:bottom w:w="28" w:type="dxa"/>
          <w:right w:w="28" w:type="dxa"/>
        </w:tblCellMar>
      </w:tblPr>
      <w:tblGrid>
        <w:gridCol w:w="1167"/>
        <w:gridCol w:w="1027"/>
        <w:gridCol w:w="1031"/>
        <w:gridCol w:w="313"/>
        <w:gridCol w:w="1071"/>
        <w:gridCol w:w="161"/>
        <w:gridCol w:w="124"/>
        <w:gridCol w:w="124"/>
        <w:gridCol w:w="124"/>
        <w:gridCol w:w="310"/>
        <w:gridCol w:w="909"/>
        <w:gridCol w:w="160"/>
        <w:gridCol w:w="109"/>
        <w:gridCol w:w="109"/>
        <w:gridCol w:w="109"/>
        <w:gridCol w:w="313"/>
        <w:gridCol w:w="1071"/>
        <w:gridCol w:w="160"/>
        <w:gridCol w:w="114"/>
        <w:gridCol w:w="114"/>
        <w:gridCol w:w="114"/>
        <w:gridCol w:w="306"/>
        <w:gridCol w:w="895"/>
        <w:gridCol w:w="223"/>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Accounts receivable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receivables</w:t>
            </w:r>
          </w:p>
        </w:tc>
      </w:tr>
      <w:tr>
        <w:trPr/>
        <w:tc>
          <w:tcPr>
            <w:tcW w:w="3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 of accounts written off</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Purchasing Power receivables originated post-acquisition, disaggregated by credit quality indicator, as of June 30, 2026:</w:t>
      </w:r>
    </w:p>
    <w:tbl>
      <w:tblPr>
        <w:tblW w:w="9124" w:type="dxa"/>
        <w:jc w:val="left"/>
        <w:tblInd w:w="0" w:type="dxa"/>
        <w:tblLayout w:type="fixed"/>
        <w:tblCellMar>
          <w:top w:w="28" w:type="dxa"/>
          <w:left w:w="28" w:type="dxa"/>
          <w:bottom w:w="28" w:type="dxa"/>
          <w:right w:w="28" w:type="dxa"/>
        </w:tblCellMar>
      </w:tblPr>
      <w:tblGrid>
        <w:gridCol w:w="770"/>
        <w:gridCol w:w="679"/>
        <w:gridCol w:w="680"/>
        <w:gridCol w:w="227"/>
        <w:gridCol w:w="778"/>
        <w:gridCol w:w="117"/>
        <w:gridCol w:w="227"/>
        <w:gridCol w:w="892"/>
        <w:gridCol w:w="117"/>
        <w:gridCol w:w="227"/>
        <w:gridCol w:w="892"/>
        <w:gridCol w:w="117"/>
        <w:gridCol w:w="234"/>
        <w:gridCol w:w="684"/>
        <w:gridCol w:w="121"/>
        <w:gridCol w:w="234"/>
        <w:gridCol w:w="801"/>
        <w:gridCol w:w="121"/>
        <w:gridCol w:w="234"/>
        <w:gridCol w:w="801"/>
        <w:gridCol w:w="171"/>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5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Originated post-acquisition accounts receivables</w:t>
            </w:r>
          </w:p>
        </w:tc>
        <w:tc>
          <w:tcPr>
            <w:tcW w:w="34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Originated post-acquisition other receivables</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Aging category</w:t>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Federal</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Non-Federal</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Federal</w:t>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Non-Federal</w:t>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1-30 days past due</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31-59 days past due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 or more days past due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Past due receivables</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receivables</w:t>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158,418 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175,735 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28,205 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33,565 </w:t>
            </w:r>
          </w:p>
        </w:tc>
        <w:tc>
          <w:tcPr>
            <w:tcW w:w="1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5. LOANS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loans receivable, net:</w:t>
      </w:r>
    </w:p>
    <w:tbl>
      <w:tblPr>
        <w:tblW w:w="7839" w:type="dxa"/>
        <w:jc w:val="left"/>
        <w:tblInd w:w="0" w:type="dxa"/>
        <w:tblLayout w:type="fixed"/>
        <w:tblCellMar>
          <w:top w:w="28" w:type="dxa"/>
          <w:left w:w="28" w:type="dxa"/>
          <w:bottom w:w="28" w:type="dxa"/>
          <w:right w:w="28" w:type="dxa"/>
        </w:tblCellMar>
      </w:tblPr>
      <w:tblGrid>
        <w:gridCol w:w="1753"/>
        <w:gridCol w:w="1543"/>
        <w:gridCol w:w="1548"/>
        <w:gridCol w:w="228"/>
        <w:gridCol w:w="779"/>
        <w:gridCol w:w="117"/>
        <w:gridCol w:w="109"/>
        <w:gridCol w:w="109"/>
        <w:gridCol w:w="109"/>
        <w:gridCol w:w="273"/>
        <w:gridCol w:w="1072"/>
        <w:gridCol w:w="199"/>
      </w:tblGrid>
      <w:tr>
        <w:trPr/>
        <w:tc>
          <w:tcPr>
            <w:tcW w:w="175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receivable, gross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Unamortized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receivable, amortized cost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Allowance for loan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receivable, net of allowances and unamortized fees</w:t>
            </w:r>
            <w:r>
              <w:rPr>
                <w:rFonts w:ascii="Times New Roman;serif" w:hAnsi="Times New Roman;serif"/>
                <w:b w:val="false"/>
                <w:color w:val="000000"/>
                <w:sz w:val="13"/>
              </w:rPr>
              <w:t>1</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90,648 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Loans receivable, net of allowances and unamortized fees attributable to Four was $67.8 million and $84.4 million as of June 30, 2026 and December 31,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Four extends or declines credit on an individual transaction basis using its proprietary decisioning platform, without using customer credit ratings. Four instead uses an internal model based on factors such as banking data and user history to generate internal proprietary risk scores. Four groups its internal risk scores into three categories that range from A to C, with an A rating representing the highest credit quality.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Below is a summary of the credit quality of Four's loan portfolio as of June 30, 2026 and December 31, 2025 by proprietary risk category as determined at the time of loan origination:</w:t>
      </w:r>
    </w:p>
    <w:tbl>
      <w:tblPr>
        <w:tblW w:w="5706" w:type="dxa"/>
        <w:jc w:val="left"/>
        <w:tblInd w:w="0" w:type="dxa"/>
        <w:tblLayout w:type="fixed"/>
        <w:tblCellMar>
          <w:top w:w="28" w:type="dxa"/>
          <w:left w:w="28" w:type="dxa"/>
          <w:bottom w:w="28" w:type="dxa"/>
          <w:right w:w="28" w:type="dxa"/>
        </w:tblCellMar>
      </w:tblPr>
      <w:tblGrid>
        <w:gridCol w:w="978"/>
        <w:gridCol w:w="858"/>
        <w:gridCol w:w="863"/>
        <w:gridCol w:w="255"/>
        <w:gridCol w:w="256"/>
        <w:gridCol w:w="624"/>
        <w:gridCol w:w="109"/>
        <w:gridCol w:w="109"/>
        <w:gridCol w:w="109"/>
        <w:gridCol w:w="314"/>
        <w:gridCol w:w="314"/>
        <w:gridCol w:w="917"/>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 proprietary risk category:</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B</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credit quality indicators of the amortized cost of the Company's loans receivable by origination year:</w:t>
      </w:r>
    </w:p>
    <w:tbl>
      <w:tblPr>
        <w:tblW w:w="10205" w:type="dxa"/>
        <w:jc w:val="center"/>
        <w:tblInd w:w="0" w:type="dxa"/>
        <w:tblLayout w:type="fixed"/>
        <w:tblCellMar>
          <w:top w:w="28" w:type="dxa"/>
          <w:left w:w="28" w:type="dxa"/>
          <w:bottom w:w="28" w:type="dxa"/>
          <w:right w:w="28" w:type="dxa"/>
        </w:tblCellMar>
      </w:tblPr>
      <w:tblGrid>
        <w:gridCol w:w="2251"/>
        <w:gridCol w:w="1977"/>
        <w:gridCol w:w="1984"/>
        <w:gridCol w:w="211"/>
        <w:gridCol w:w="721"/>
        <w:gridCol w:w="109"/>
        <w:gridCol w:w="109"/>
        <w:gridCol w:w="109"/>
        <w:gridCol w:w="109"/>
        <w:gridCol w:w="245"/>
        <w:gridCol w:w="838"/>
        <w:gridCol w:w="126"/>
        <w:gridCol w:w="109"/>
        <w:gridCol w:w="109"/>
        <w:gridCol w:w="109"/>
        <w:gridCol w:w="211"/>
        <w:gridCol w:w="721"/>
        <w:gridCol w:w="157"/>
      </w:tblGrid>
      <w:tr>
        <w:trPr/>
        <w:tc>
          <w:tcPr>
            <w:tcW w:w="225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June 30, 2026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2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 proprietary risk category: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strategic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amortized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charge-offs by origination year for the six months ended June 30, 2026</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19,316 </w:t>
            </w:r>
          </w:p>
        </w:tc>
        <w:tc>
          <w:tcPr>
            <w:tcW w:w="1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31,186 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Included in the table below is an aging of the loans receivable, gross balance:</w:t>
      </w:r>
    </w:p>
    <w:tbl>
      <w:tblPr>
        <w:tblW w:w="10205" w:type="dxa"/>
        <w:jc w:val="left"/>
        <w:tblInd w:w="0" w:type="dxa"/>
        <w:tblLayout w:type="fixed"/>
        <w:tblCellMar>
          <w:top w:w="28" w:type="dxa"/>
          <w:left w:w="28" w:type="dxa"/>
          <w:bottom w:w="28" w:type="dxa"/>
          <w:right w:w="28" w:type="dxa"/>
        </w:tblCellMar>
      </w:tblPr>
      <w:tblGrid>
        <w:gridCol w:w="2607"/>
        <w:gridCol w:w="2296"/>
        <w:gridCol w:w="2306"/>
        <w:gridCol w:w="266"/>
        <w:gridCol w:w="513"/>
        <w:gridCol w:w="342"/>
        <w:gridCol w:w="109"/>
        <w:gridCol w:w="109"/>
        <w:gridCol w:w="109"/>
        <w:gridCol w:w="348"/>
        <w:gridCol w:w="671"/>
        <w:gridCol w:w="529"/>
      </w:tblGrid>
      <w:tr>
        <w:trPr/>
        <w:tc>
          <w:tcPr>
            <w:tcW w:w="260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 amounts in thousands)</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Aging category</w:t>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1-30 days past due</w:t>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31-59 days past due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 or more days past due</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Past due loans receivable</w:t>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loans receivable 90 or more days past due and still accruing interest and fees</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allowance for loan losses:</w:t>
      </w:r>
    </w:p>
    <w:tbl>
      <w:tblPr>
        <w:tblW w:w="7185" w:type="dxa"/>
        <w:jc w:val="center"/>
        <w:tblInd w:w="0" w:type="dxa"/>
        <w:tblLayout w:type="fixed"/>
        <w:tblCellMar>
          <w:top w:w="28" w:type="dxa"/>
          <w:left w:w="28" w:type="dxa"/>
          <w:bottom w:w="28" w:type="dxa"/>
          <w:right w:w="28" w:type="dxa"/>
        </w:tblCellMar>
      </w:tblPr>
      <w:tblGrid>
        <w:gridCol w:w="798"/>
        <w:gridCol w:w="702"/>
        <w:gridCol w:w="70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6. FAIR VALUE MEASUREMENT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Recurring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financial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1747"/>
        <w:gridCol w:w="937"/>
        <w:gridCol w:w="644"/>
        <w:gridCol w:w="211"/>
        <w:gridCol w:w="406"/>
        <w:gridCol w:w="109"/>
        <w:gridCol w:w="109"/>
        <w:gridCol w:w="109"/>
        <w:gridCol w:w="109"/>
        <w:gridCol w:w="211"/>
        <w:gridCol w:w="616"/>
        <w:gridCol w:w="109"/>
        <w:gridCol w:w="109"/>
        <w:gridCol w:w="109"/>
        <w:gridCol w:w="109"/>
        <w:gridCol w:w="211"/>
        <w:gridCol w:w="82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5"/>
      </w:tblGrid>
      <w:tr>
        <w:trPr/>
        <w:tc>
          <w:tcPr>
            <w:tcW w:w="174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accounts receivable - acquired portfolio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other receivables - acquired portfolio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Receivables associated with the Purchasing Power acquired portfolio are measured at fair value on a recurring basis pursuant to the Company's election of the fair value option under ASC 825. The fair value of these receivables is estimated using a discounted cash flow methodology that incorporates significant unobservable inputs, including expected cash collections, default rates, and market-based discount rates commensurate with the credit risk of the underlying borrowers. Changes in fair value attributable to the passage of time, credit performance, discount rates, and other assumptions, are recognized within gain on change in the fair value of receivables.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Not Measured at Fair Value for Which Fair Value is Disclosed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Four's loans receivable, net of an allowance for loan losses and unamortized fees, are included within loans receivable, net in the condensed consolidated balance sheets and approximated fair value based on a discounted cash flow methodology. The carrying value of loans receivable from our other strategic operations approximates fair value based on a discounted cash flow methodology due to the short durations of these loans.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Purchasing Power receivables originated subsequent to the acquisition date generally have contractual terms of 12 months or less, and the Company believes the carrying value of these receivables approximates fair value due to their short duration. For receivables with contractual terms exceeding 12 months and other receivables, the Company records the receivables at the present value of expected future cash flows using a discount rate reflective of the underlying transaction at inception. The Company believes these discount rates approximate current market rates for similar instruments, and there have not been significant changes in credit risk or market conditions since origination. Accordingly, the carrying value of these receivables approximates their 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in the condensed consolidated balance sheets and is measured at fair value for disclosure purposes. The fair value of the Senior Notes was estimated based on quoted market prices in less active markets and has been classified as Level 2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term loan and revolving credit facility, when outstanding, approximates carrying value due to their variable interest rates, which reset periodically based on market indices (e.g., SOFR). The fair value of the Company's asset-backed and securitization debt is estimated using discounted cash flow models that incorporate significant unobservable inputs, including market spreads for comparable instruments, expected cash flows, and credit performance assumptions. Accordingly, these instruments are classified as Level 3 in the fair value hierarchy.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fixed-rate debt:</w:t>
      </w:r>
    </w:p>
    <w:tbl>
      <w:tblPr>
        <w:tblW w:w="8900" w:type="dxa"/>
        <w:jc w:val="left"/>
        <w:tblInd w:w="0" w:type="dxa"/>
        <w:tblLayout w:type="fixed"/>
        <w:tblCellMar>
          <w:top w:w="28" w:type="dxa"/>
          <w:left w:w="28" w:type="dxa"/>
          <w:bottom w:w="28" w:type="dxa"/>
          <w:right w:w="28" w:type="dxa"/>
        </w:tblCellMar>
      </w:tblPr>
      <w:tblGrid>
        <w:gridCol w:w="580"/>
        <w:gridCol w:w="510"/>
        <w:gridCol w:w="514"/>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40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7: INDEBTEDNESS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debt consists of the following:</w:t>
      </w:r>
    </w:p>
    <w:tbl>
      <w:tblPr>
        <w:tblW w:w="8982" w:type="dxa"/>
        <w:jc w:val="left"/>
        <w:tblInd w:w="0" w:type="dxa"/>
        <w:tblLayout w:type="fixed"/>
        <w:tblCellMar>
          <w:top w:w="28" w:type="dxa"/>
          <w:left w:w="28" w:type="dxa"/>
          <w:bottom w:w="28" w:type="dxa"/>
          <w:right w:w="28" w:type="dxa"/>
        </w:tblCellMar>
      </w:tblPr>
      <w:tblGrid>
        <w:gridCol w:w="1168"/>
        <w:gridCol w:w="1027"/>
        <w:gridCol w:w="1029"/>
        <w:gridCol w:w="334"/>
        <w:gridCol w:w="334"/>
        <w:gridCol w:w="336"/>
        <w:gridCol w:w="468"/>
        <w:gridCol w:w="468"/>
        <w:gridCol w:w="474"/>
        <w:gridCol w:w="109"/>
        <w:gridCol w:w="109"/>
        <w:gridCol w:w="109"/>
        <w:gridCol w:w="211"/>
        <w:gridCol w:w="826"/>
        <w:gridCol w:w="109"/>
        <w:gridCol w:w="109"/>
        <w:gridCol w:w="109"/>
        <w:gridCol w:w="109"/>
        <w:gridCol w:w="273"/>
        <w:gridCol w:w="1072"/>
        <w:gridCol w:w="1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 rate</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1</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facility outstanding</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2</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corporate debt, net</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debt</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 Series 2023-A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3</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 Series 2023-A</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3</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 Series 2026-A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 Series 2026-A</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C - Series 2026-A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D - Series 2026-A</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E - Series 2026-A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7.54%</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asset-backed debt, net</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Term Loan A bore interest at either a base rate or term SOFR plus an applicable margin based on the Company's leverage ratio. </w:t>
      </w:r>
    </w:p>
    <w:p>
      <w:pPr>
        <w:pStyle w:val="TextBody"/>
        <w:bidi w:val="0"/>
        <w:spacing w:lineRule="auto" w:line="288" w:before="60" w:after="283"/>
        <w:ind w:left="0" w:right="0" w:hanging="9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Revolving Facility bears interest at either a base rate or term SOFR plus an applicable margin based on the Company's leverage ratio. </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The 2023-A facility bears interest on Class A at 2.05% plus the greater of the CP Rate (as defined in the agreement) or the floor rate of 0% and for Class B at 8.25% plus the greater of the term SOFR plus 0.1% or the floor rate of 3.0%.</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Corporate Debt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of the Company and are guaranteed by certain of the Company's existing and future domestic subsidiaries. There were no changes to the Company's Senior Unsecured Notes during the three and six months ended June 30, 2026. Debt issuance costs are presented as a direct reduction of the carrying amount of the debt and amortized using the effective interest method over the contractual term of the loan in accordance with ASC 835-30.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Credit Facility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the Company entered into a Fourth Amendment to its existing credit agreement (the "Credit Facility"), which, among other things, modified the terms of the revolving credit facility (the "Revolving Facility") and provided for a new $125.0 million term loan (the "Term Loan A"). The amendment was accounted for as a modification in accordance with ASC 470-50, as the terms were not substantially different.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Facility contains financial covenants, which include requirements that the Company maintain ratios of (i) total net debt to EBITDA as defined by the Credit Facility of no more than (a) 3.25:1.00, as of the last day of each Fiscal Quarter ending during the period from January 1, 2026 to and including December 31, 2026, (b) 3.00:1.00, as of the last day of each Fiscal Quarter ending during the period from January 1, 2027 to and including December 31, 2027, and (c) 2.50:1.00, as of the last day of each Fiscal Quarter ending thereafter; and (ii) consolidated interest coverage of no less than 3.00:1.00. As of June 30, 2026, the Company was in compliance with all financial covenants under the Credit Facility, including the maximum total net leverage ratio and minimum interest coverage ratio requirements.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a $350.0 million senior unsecured Revolving Facility which matures on November 15, 2029. Borrowings bear interest, at the Company's election, at either a base rate or a term SOFR rate plus an applicable margin based on the Company's leverage ratio. The Revolving Facility includes a commitment fee on unused capacity.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no outstanding borrowings under the Revolving Facility, with $350.0 million remaining available for borrowing. Borrowings and repayments under the Revolving Facility during the quarter primarily related to short</w:t>
        <w:noBreakHyphen/>
        <w:t>term liquidity needs surrounding the acquisition and related transactions. Unamortized debt issuance costs related to the Revolving Facility were $3.2 million and $2.6 million as of June 30, 2026 and December 31, 2025, respectively. These amounts were included within prepaid expenses and other assets in the condensed consolidated balance sheets and are amortized over the term of the facility using the effective interest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Term Loan A was scheduled to mature November 15, 2029, and was voluntarily prepaid in full during the six months ended June 30, 2026. Term Loan A had been amortizing through quarterly principal payments, and borrowings bore interest at either a base rate or a term SOFR rate plus an applicable margin determined by the Company's leverage ratio.</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Securitization and Asset-Backed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Purchasing Power on January 2, 2026, certain non-recourse funding debt arrangements remained in place, including securitization and warehouse credit facilities, which were recorded at fair value in accordance with ASC 805. Fair value was determined using discounted cash flow models incorporating market spreads for comparable instruments (Level 3 input).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arrangements are accounted for as secured borrowings, as the related receivables remain on the Company's condensed consolidated balance sheets. See Note 1 for additional information regarding the structure, consolidation, and nature of VIEs.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asset-backed debt is secured by receivables and related collections held by the applicable securitization entities. These assets are restricted and are not available to satisfy the claims of the Company's general creditors. As of June 30, 2026, the carrying values of the receivables pledged as collateral for these arrangements was $381.4 million. Restricted cash held by the securitization entities, including collections and reserve accounts, was $6.3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Collections on the underlying receivables are applied pursuant to contractual priority of payments provisions. These provisions generally require that cash flows be applied to servicing fees, interest on outstanding notes, and principal repayments, with any remaining amounts distributed to the Company.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securitization and warehouse arrangements include various financial and performance covenants. Under the 2023-A warehouse facility, as amended, the Company is required to maintain (i) a maximum consolidated total net debt to EBITDA ratio of 3.50:1.00, (ii) a minimum interest coverage ratio of 3.00:1.00, (iii) minimum adjusted tangible net worth, (iv) minimum liquidity levels, and (v) minimum unrestricted cash of $40.0 million. The 2026-A securitization facility includes collateral coverage and portfolio performance requirements, including minimum overcollateralization levels, reserve account requirements, net worth requirements, delinquency and loss performance thresholds, concentration limits, and restrictions on additional indebtedness and liens within the securitization structure.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Breaches of certain performance thresholds may result in a rapid amortization event, during which principal collections from the underlying receivables would be used to accelerate repayment of outstanding debt and distributions to the Company may be limited. If other covenants or requirements are breached, the lender may terminate the Company's ability to draw on the facilities, accelerate outstanding amounts, and exercise remedies against pledged collateral, including liquidation.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applicable financial and performance covenants and no rapid amortization or early amortization events had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Subsequent to its acquisition of Purchasing Power, the Company repaid and terminated certain securitization and warehouse funding arrangements that had remained in place following the acquisition. These transactions were accounted for as extinguishments of debt. No material gain or loss was recognized, as the reacquisition prices approximated the carrying values at the time of extinguishment, which were based on the fair values recognized at the acquisition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26, 2026, a wholly-owned securitization entity issued $220.0 million aggregate principal amount of asset-backed notes (the "Series 2026-A Facility") to third parties in a private placement transaction. The notes are recorded at their principal amount, net of debt issuance costs, which are amortized over the expected life of the notes using the effective interest method.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debt activity for the six months ended June 30, 2026 (balances in the activity table reflect gross principal amounts and exclude unamortized debt issuance costs):</w:t>
      </w:r>
    </w:p>
    <w:tbl>
      <w:tblPr>
        <w:tblW w:w="8798" w:type="dxa"/>
        <w:jc w:val="left"/>
        <w:tblInd w:w="0" w:type="dxa"/>
        <w:tblLayout w:type="fixed"/>
        <w:tblCellMar>
          <w:top w:w="28" w:type="dxa"/>
          <w:left w:w="28" w:type="dxa"/>
          <w:bottom w:w="28" w:type="dxa"/>
          <w:right w:w="28" w:type="dxa"/>
        </w:tblCellMar>
      </w:tblPr>
      <w:tblGrid>
        <w:gridCol w:w="737"/>
        <w:gridCol w:w="650"/>
        <w:gridCol w:w="652"/>
        <w:gridCol w:w="290"/>
        <w:gridCol w:w="1135"/>
        <w:gridCol w:w="149"/>
        <w:gridCol w:w="211"/>
        <w:gridCol w:w="826"/>
        <w:gridCol w:w="109"/>
        <w:gridCol w:w="237"/>
        <w:gridCol w:w="930"/>
        <w:gridCol w:w="122"/>
        <w:gridCol w:w="211"/>
        <w:gridCol w:w="901"/>
        <w:gridCol w:w="109"/>
        <w:gridCol w:w="271"/>
        <w:gridCol w:w="1061"/>
        <w:gridCol w:w="197"/>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Debt instrument</w:t>
            </w:r>
          </w:p>
        </w:tc>
        <w:tc>
          <w:tcPr>
            <w:tcW w:w="15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12/31/2025</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w:t>
            </w:r>
          </w:p>
        </w:tc>
        <w:tc>
          <w:tcPr>
            <w:tcW w:w="12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borrowings</w:t>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Debt paydowns</w:t>
            </w:r>
          </w:p>
        </w:tc>
        <w:tc>
          <w:tcPr>
            <w:tcW w:w="15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6/30/2026</w:t>
            </w:r>
          </w:p>
        </w:tc>
      </w:tr>
      <w:tr>
        <w:trPr/>
        <w:tc>
          <w:tcPr>
            <w:tcW w:w="8798" w:type="dxa"/>
            <w:gridSpan w:val="18"/>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facility</w:t>
            </w:r>
            <w:r>
              <w:rPr>
                <w:rFonts w:ascii="Times New Roman;serif" w:hAnsi="Times New Roman;serif"/>
                <w:b w:val="false"/>
                <w:color w:val="000000"/>
                <w:sz w:val="13"/>
              </w:rPr>
              <w:t>1</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corporate debt</w:t>
            </w:r>
          </w:p>
        </w:tc>
        <w:tc>
          <w:tcPr>
            <w:tcW w:w="1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debt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2023-A facility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PPF1 facility</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PPF 2024-A</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PPF 2026-A facility</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asset-backed debt</w:t>
            </w:r>
          </w:p>
        </w:tc>
        <w:tc>
          <w:tcPr>
            <w:tcW w:w="14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293,678 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debt</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546,178 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893,678 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new borrowings on the revolving facility included $135.0 million used for the acquisition of Purchasing Power and an additional $50 million for other working capital needs. The aggregated new revolving facility borrowings of $185.0 million were repaid during the three months ended March 31,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Maturity Schedule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Below is a summary of future principal maturities of our debt due as of June 30, 2026:</w:t>
      </w:r>
    </w:p>
    <w:tbl>
      <w:tblPr>
        <w:tblW w:w="2439" w:type="dxa"/>
        <w:jc w:val="left"/>
        <w:tblInd w:w="0" w:type="dxa"/>
        <w:tblLayout w:type="fixed"/>
        <w:tblCellMar>
          <w:top w:w="28" w:type="dxa"/>
          <w:left w:w="28" w:type="dxa"/>
          <w:bottom w:w="28" w:type="dxa"/>
          <w:right w:w="28" w:type="dxa"/>
        </w:tblCellMar>
      </w:tblPr>
      <w:tblGrid>
        <w:gridCol w:w="412"/>
        <w:gridCol w:w="363"/>
        <w:gridCol w:w="364"/>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asset-backed financing relates to the Company's securitization and warehouse funding arrangements, which are secured by the underlying receivables and are generally non-recourse to the Company's other assets. Interest on corporate debt relates to borrowings under the Company's senior unsecured notes, term loan, and revolving credit facility. Amortization of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issuance costs is recognized as interest expense over the respective terms of the related debt instruments using the effective interest method. Interest expense consists of the following:</w:t>
      </w:r>
    </w:p>
    <w:tbl>
      <w:tblPr>
        <w:tblW w:w="8411" w:type="dxa"/>
        <w:jc w:val="left"/>
        <w:tblInd w:w="0" w:type="dxa"/>
        <w:tblLayout w:type="fixed"/>
        <w:tblCellMar>
          <w:top w:w="28" w:type="dxa"/>
          <w:left w:w="28" w:type="dxa"/>
          <w:bottom w:w="28" w:type="dxa"/>
          <w:right w:w="28" w:type="dxa"/>
        </w:tblCellMar>
      </w:tblPr>
      <w:tblGrid>
        <w:gridCol w:w="1085"/>
        <w:gridCol w:w="956"/>
        <w:gridCol w:w="958"/>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corporate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asset-backed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 and Regulatory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party to various legal and regulatory proceedings arising in the ordinary course of business.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pStyle w:val="TextBody"/>
        <w:bidi w:val="0"/>
        <w:spacing w:lineRule="auto" w:line="288" w:before="100" w:after="283"/>
        <w:jc w:val="left"/>
        <w:rPr/>
      </w:pPr>
      <w:r>
        <w:rPr>
          <w:rFonts w:ascii="Times New Roman;serif" w:hAnsi="Times New Roman;serif"/>
          <w:b w:val="false"/>
          <w:color w:val="000000"/>
          <w:sz w:val="20"/>
        </w:rPr>
        <w:t>At June 30, 2026 and December 31, 2025, the Company had accrued $5.3 million and $3.8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r>
        <w:rPr>
          <w:color w:val="000000"/>
          <w:shd w:fill="FFFFFF" w:val="clear"/>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Regulatory Inquiries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2020, Progressive Leasing entered into a settlement (the "FTC Settlement") with the Federal Trade Commission ("FTC") to resolve allegations by the FTC that certain of Progressive Leasing's advertising and marketing practices violated the FTC Act. Progressive Leasing did not admit any violations of the FTC Act or any other laws in connection with the FTC Settlement. Under the terms of the FTC Settlement, Progressive Leasing paid $175.0 million to the FTC and agreed to enhance certain of its compliance-related activities, including augmenting disclosures to its customers and expanding its POS partner monitoring programs. Progressive Leasing further agreed to submit compliance reports or produce other requested documents and information to the FTC upon written request by the FTC.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Progressive Leasing received a written request from the FTC to evidence Progressive Leasing's compliance with the FTC Settlement by providing the FTC with information and documents, including those related to customer complaints and advertising and marketing materials. The FTC's request is not a civil investigative demand. The Company fully cooperated with the FTC in responding to the FTC’s request for information and documents.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a putative class action, Sterling Kelly v. Prog Services, Inc. d/b/a MoneyApp, was filed against the Company's MoneyApp business in the Third Judicial District Court, Salt Lake County, Utah, alleging that MoneyApp's cash advance offering violates the federal Military Lending Act and Truth in Lending Act, due to MoneyApp offering its customers the option of expediting the receipt of their cash advances by paying a voluntary expediting fee. In November 2025, MoneyApp successfully removed the lawsuit to the federal District Court of Utah, Central Division. MoneyApp believes it has substantial defenses against the claims alleged in the lawsuit and intends to contest this matter vigorously.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2026, Progressive Leasing entered into a settlement agreement to resolve a commercial dispute with respect to certain intellectual property matters. The settlement resulted in a charge of approximately $4.8 million during the three months ended June 30, 2026, which amount is included within operating expenses in the Company's condensed consolidated statements of operations. Under the terms of the settlement, Progressive Leasing did not admit liability and expressly denied that it engaged in any wrongdoing in connection with the matter. As of June 30, 2026, the settlement obligation of $5.3 million remained unpaid and is included in accounts payable and accrued expenses on the condensed consolidated balance sheets.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9. 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from multiple sources, including leasing arrangements (ASC 842), contracts with customers (ASC 606), and financing and fee income (ASC 310). Revenue is disaggregated below by source.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Disaggregation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disaggregates revenue by major revenue stream based on the nature of its revenue</w:t>
        <w:noBreakHyphen/>
        <w:t>generating activities, applicable accounting guidance, and by performance obligations, as management believes these categories depict how economic factors affect revenue.</w:t>
      </w:r>
    </w:p>
    <w:tbl>
      <w:tblPr>
        <w:tblW w:w="10205" w:type="dxa"/>
        <w:jc w:val="left"/>
        <w:tblInd w:w="0" w:type="dxa"/>
        <w:tblLayout w:type="fixed"/>
        <w:tblCellMar>
          <w:top w:w="28" w:type="dxa"/>
          <w:left w:w="28" w:type="dxa"/>
          <w:bottom w:w="28" w:type="dxa"/>
          <w:right w:w="28" w:type="dxa"/>
        </w:tblCellMar>
      </w:tblPr>
      <w:tblGrid>
        <w:gridCol w:w="1435"/>
        <w:gridCol w:w="1265"/>
        <w:gridCol w:w="1267"/>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 pursuant to ASC 842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service, and other revenue pursuant to ASC 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and fee income pursuant to ASC 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10. RESTRUCTURING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2022, the Company initiated restructuring activities intended to reduce expenses, consolidate certain segment corporate headquarters, and align the cost structure of the business with the Company's near-term revenue outlook. The Company has incurred aggregate expenses of $48.4 million since the inception of the restructuring activities in 2022. These costs were primarily comprised of early contract termination costs, employee severance, a reduction of management and information technology space and impairment of capitalized software for our other strategic initiatives and products.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restructuring activities during the three and six months ended June 30, 2025. The following tables summarize restructuring charges recorded within operating expenses in the condensed consolidated statements of earnings for the three and six months ended June 30, 2026:</w:t>
      </w:r>
    </w:p>
    <w:tbl>
      <w:tblPr>
        <w:tblW w:w="7562" w:type="dxa"/>
        <w:jc w:val="left"/>
        <w:tblInd w:w="0" w:type="dxa"/>
        <w:tblLayout w:type="fixed"/>
        <w:tblCellMar>
          <w:top w:w="28" w:type="dxa"/>
          <w:left w:w="28" w:type="dxa"/>
          <w:bottom w:w="28" w:type="dxa"/>
          <w:right w:w="28" w:type="dxa"/>
        </w:tblCellMar>
      </w:tblPr>
      <w:tblGrid>
        <w:gridCol w:w="983"/>
        <w:gridCol w:w="715"/>
        <w:gridCol w:w="717"/>
        <w:gridCol w:w="447"/>
        <w:gridCol w:w="864"/>
        <w:gridCol w:w="233"/>
        <w:gridCol w:w="440"/>
        <w:gridCol w:w="755"/>
        <w:gridCol w:w="230"/>
        <w:gridCol w:w="211"/>
        <w:gridCol w:w="406"/>
        <w:gridCol w:w="109"/>
        <w:gridCol w:w="211"/>
        <w:gridCol w:w="406"/>
        <w:gridCol w:w="109"/>
        <w:gridCol w:w="211"/>
        <w:gridCol w:w="36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expenses</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8" w:type="dxa"/>
        <w:jc w:val="left"/>
        <w:tblInd w:w="0" w:type="dxa"/>
        <w:tblLayout w:type="fixed"/>
        <w:tblCellMar>
          <w:top w:w="28" w:type="dxa"/>
          <w:left w:w="28" w:type="dxa"/>
          <w:bottom w:w="28" w:type="dxa"/>
          <w:right w:w="28" w:type="dxa"/>
        </w:tblCellMar>
      </w:tblPr>
      <w:tblGrid>
        <w:gridCol w:w="995"/>
        <w:gridCol w:w="724"/>
        <w:gridCol w:w="726"/>
        <w:gridCol w:w="413"/>
        <w:gridCol w:w="915"/>
        <w:gridCol w:w="217"/>
        <w:gridCol w:w="321"/>
        <w:gridCol w:w="938"/>
        <w:gridCol w:w="166"/>
        <w:gridCol w:w="211"/>
        <w:gridCol w:w="406"/>
        <w:gridCol w:w="109"/>
        <w:gridCol w:w="211"/>
        <w:gridCol w:w="406"/>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restructuring activities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expenses</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accrual and payment activity related to the restructuring program for the six months ended June 30, 2026 and 2025:</w:t>
      </w:r>
    </w:p>
    <w:tbl>
      <w:tblPr>
        <w:tblW w:w="9207" w:type="dxa"/>
        <w:jc w:val="left"/>
        <w:tblInd w:w="0" w:type="dxa"/>
        <w:tblLayout w:type="fixed"/>
        <w:tblCellMar>
          <w:top w:w="28" w:type="dxa"/>
          <w:left w:w="28" w:type="dxa"/>
          <w:bottom w:w="28" w:type="dxa"/>
          <w:right w:w="28" w:type="dxa"/>
        </w:tblCellMar>
      </w:tblPr>
      <w:tblGrid>
        <w:gridCol w:w="939"/>
        <w:gridCol w:w="827"/>
        <w:gridCol w:w="829"/>
        <w:gridCol w:w="211"/>
        <w:gridCol w:w="616"/>
        <w:gridCol w:w="109"/>
        <w:gridCol w:w="553"/>
        <w:gridCol w:w="1618"/>
        <w:gridCol w:w="289"/>
        <w:gridCol w:w="648"/>
        <w:gridCol w:w="1250"/>
        <w:gridCol w:w="337"/>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Severance </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Early contract termination costs</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restructuring activities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56" w:type="dxa"/>
        <w:jc w:val="left"/>
        <w:tblInd w:w="0" w:type="dxa"/>
        <w:tblLayout w:type="fixed"/>
        <w:tblCellMar>
          <w:top w:w="28" w:type="dxa"/>
          <w:left w:w="28" w:type="dxa"/>
          <w:bottom w:w="28" w:type="dxa"/>
          <w:right w:w="28" w:type="dxa"/>
        </w:tblCellMar>
      </w:tblPr>
      <w:tblGrid>
        <w:gridCol w:w="939"/>
        <w:gridCol w:w="827"/>
        <w:gridCol w:w="829"/>
        <w:gridCol w:w="237"/>
        <w:gridCol w:w="524"/>
        <w:gridCol w:w="124"/>
        <w:gridCol w:w="553"/>
        <w:gridCol w:w="1618"/>
        <w:gridCol w:w="289"/>
        <w:gridCol w:w="648"/>
        <w:gridCol w:w="1250"/>
        <w:gridCol w:w="337"/>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Severance </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Early contract termination costs</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restructuring activities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11.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three reportable segments: Progressive Leasing, Purchasing Power and Four.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Progressive Leasing partners with traditional and e-commerce retailers, mainly in the consumer residential electronics, furniture and appliance, mobile phones and accessories, jewelry, mattresses, and automobile electronics and accessories industries to offer a lease-purchase solution primarily for customers who may not have access to traditional credit-based financing options. It does so by offering leases with weekly, bi-weekly, semi-monthly and monthly payment frequencies.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Purchasing Power is a voluntary employee benefit program provider allowing employees of its employer-clients to purchase brand-name products and services from Purchasing Power and then pay for those purchases through either automatic payroll deductions or allotments. Millions of employees nationwide have access to Purchasing Power's purchasing options.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Four is a buy-now, pay-later company that allows shoppers to pay for merchandise through four interest-free installments. As of December 31, 2025, Four was a reportable segment, as its financial results were considered significant to the Company's consolidated financial results. Prior year segment information has been recast for comparability to reflect Four as a reportable segment for the year ended December 31, 2025. For the periods prior to becoming a reportable segment, the revenues, loss before income taxes, and assets of Four were included within Other, along with the Company's other strategic initiatives.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Factors Used by Management to Identify the Reportable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based on the operations of the Company that the chief operating decision maker ("CODM") regularly reviews to analyze performance and allocate resources among business units of the Company. The Company's CODM is its President and CEO.</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Segment Assets and Segment Profit or Loss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operating segment performance and decides how to allocate resources based on segment revenues and earnings (loss) before income tax expense (benefit). The Company determines earnings (loss) before income tax expense (benefit) for all reportable segments in accordance with U.S. GAAP. The CODM uses this information to evaluate the profitability of the Company's reportable segments and make decisions on future business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incurred various corporate overhead expenses for certain executive management, legal, human resources, finance, facilities, audit, risk management, technology, and other overhead functions during the three and six months ended June 30, 2026 and 2025. Corporate overhead expenses incurred are primarily reflected as expenses of Progressive Leasing. Purchasing Power separately incurs certain direct overhead costs associated with its operations, including costs related to its corporate office and functional support areas such as merchandising, technology, finance, legal, and accounting. An immaterial amount of corporate overhead was allocated from Progressive Leasing to Purchasing Power, Four, and our other strategic operations based on functional identification. The allocation of corporate overhead costs between Progressive Leasing, Purchasing Power, Four and Other were consistent with how the CODM analyzed performance and allocated resources among the segments of the Company.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total assets from continuing operations by segment:</w:t>
      </w:r>
    </w:p>
    <w:tbl>
      <w:tblPr>
        <w:tblW w:w="6498" w:type="dxa"/>
        <w:jc w:val="left"/>
        <w:tblInd w:w="0" w:type="dxa"/>
        <w:tblLayout w:type="fixed"/>
        <w:tblCellMar>
          <w:top w:w="28" w:type="dxa"/>
          <w:left w:w="28" w:type="dxa"/>
          <w:bottom w:w="28" w:type="dxa"/>
          <w:right w:w="28" w:type="dxa"/>
        </w:tblCellMar>
      </w:tblPr>
      <w:tblGrid>
        <w:gridCol w:w="1204"/>
        <w:gridCol w:w="1061"/>
        <w:gridCol w:w="1065"/>
        <w:gridCol w:w="211"/>
        <w:gridCol w:w="976"/>
        <w:gridCol w:w="109"/>
        <w:gridCol w:w="109"/>
        <w:gridCol w:w="109"/>
        <w:gridCol w:w="109"/>
        <w:gridCol w:w="243"/>
        <w:gridCol w:w="1125"/>
        <w:gridCol w:w="177"/>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from continuing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1,596,858 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capital expenditures from continuing operations by segment:</w:t>
      </w:r>
    </w:p>
    <w:tbl>
      <w:tblPr>
        <w:tblW w:w="9306" w:type="dxa"/>
        <w:jc w:val="left"/>
        <w:tblInd w:w="0" w:type="dxa"/>
        <w:tblLayout w:type="fixed"/>
        <w:tblCellMar>
          <w:top w:w="28" w:type="dxa"/>
          <w:left w:w="28" w:type="dxa"/>
          <w:bottom w:w="28" w:type="dxa"/>
          <w:right w:w="28" w:type="dxa"/>
        </w:tblCellMar>
      </w:tblPr>
      <w:tblGrid>
        <w:gridCol w:w="1628"/>
        <w:gridCol w:w="1438"/>
        <w:gridCol w:w="144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1</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from continuing operations</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Capital expenditures primarily consists of internal-use software, as well as computer hardware and furniture and equipment.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segment revenues, significant segment expenses, other segment items, and profit and loss information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62"/>
        <w:gridCol w:w="927"/>
        <w:gridCol w:w="929"/>
        <w:gridCol w:w="265"/>
        <w:gridCol w:w="1042"/>
        <w:gridCol w:w="137"/>
        <w:gridCol w:w="109"/>
        <w:gridCol w:w="109"/>
        <w:gridCol w:w="109"/>
        <w:gridCol w:w="350"/>
        <w:gridCol w:w="780"/>
        <w:gridCol w:w="176"/>
        <w:gridCol w:w="109"/>
        <w:gridCol w:w="109"/>
        <w:gridCol w:w="109"/>
        <w:gridCol w:w="211"/>
        <w:gridCol w:w="616"/>
        <w:gridCol w:w="109"/>
        <w:gridCol w:w="109"/>
        <w:gridCol w:w="109"/>
        <w:gridCol w:w="109"/>
        <w:gridCol w:w="211"/>
        <w:gridCol w:w="676"/>
        <w:gridCol w:w="109"/>
        <w:gridCol w:w="109"/>
        <w:gridCol w:w="109"/>
        <w:gridCol w:w="109"/>
        <w:gridCol w:w="211"/>
        <w:gridCol w:w="826"/>
        <w:gridCol w:w="160"/>
      </w:tblGrid>
      <w:tr>
        <w:trPr/>
        <w:tc>
          <w:tcPr>
            <w:tcW w:w="116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550,554 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Significant segment expenses</w:t>
            </w:r>
            <w:r>
              <w:rPr>
                <w:rFonts w:ascii="Times New Roman;serif" w:hAnsi="Times New Roman;serif"/>
                <w:b w:val="false"/>
                <w:color w:val="000000"/>
                <w:sz w:val="13"/>
              </w:rPr>
              <w:t>1</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493,639 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expenses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3</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 expense</w:t>
            </w:r>
          </w:p>
        </w:tc>
        <w:tc>
          <w:tcPr>
            <w:tcW w:w="2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45,430 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significant expense categories and amounts align with the segment-level information that is regularly provided to the CODM.</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depreciation of lease merchandise, which is not included in the CODM's measure of depreciation and amortization.</w:t>
      </w:r>
    </w:p>
    <w:p>
      <w:pPr>
        <w:pStyle w:val="TextBody"/>
        <w:bidi w:val="0"/>
        <w:spacing w:lineRule="auto" w:line="288" w:before="60" w:after="283"/>
        <w:ind w:left="0" w:right="0" w:hanging="9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Intersegment interest income and expense of $2.2 million are included within the amounts shown.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55"/>
        <w:gridCol w:w="926"/>
        <w:gridCol w:w="929"/>
        <w:gridCol w:w="267"/>
        <w:gridCol w:w="1047"/>
        <w:gridCol w:w="138"/>
        <w:gridCol w:w="109"/>
        <w:gridCol w:w="109"/>
        <w:gridCol w:w="109"/>
        <w:gridCol w:w="380"/>
        <w:gridCol w:w="731"/>
        <w:gridCol w:w="196"/>
        <w:gridCol w:w="109"/>
        <w:gridCol w:w="109"/>
        <w:gridCol w:w="109"/>
        <w:gridCol w:w="211"/>
        <w:gridCol w:w="616"/>
        <w:gridCol w:w="109"/>
        <w:gridCol w:w="109"/>
        <w:gridCol w:w="109"/>
        <w:gridCol w:w="109"/>
        <w:gridCol w:w="211"/>
        <w:gridCol w:w="677"/>
        <w:gridCol w:w="109"/>
        <w:gridCol w:w="109"/>
        <w:gridCol w:w="109"/>
        <w:gridCol w:w="109"/>
        <w:gridCol w:w="211"/>
        <w:gridCol w:w="826"/>
        <w:gridCol w:w="158"/>
      </w:tblGrid>
      <w:tr>
        <w:trPr/>
        <w:tc>
          <w:tcPr>
            <w:tcW w:w="11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4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Significant segment expenses</w:t>
            </w:r>
            <w:r>
              <w:rPr>
                <w:rFonts w:ascii="Times New Roman;serif" w:hAnsi="Times New Roman;serif"/>
                <w:b w:val="false"/>
                <w:color w:val="000000"/>
                <w:sz w:val="13"/>
              </w:rPr>
              <w:t>1</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506,632 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3</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 expense</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51,546 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significant expense categories and amounts align with the segment-level information that is regularly provided to the CODM.</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depreciation of lease merchandise, which is not included in the CODM's measure of depreciation and amortization.</w:t>
      </w:r>
    </w:p>
    <w:p>
      <w:pPr>
        <w:pStyle w:val="TextBody"/>
        <w:bidi w:val="0"/>
        <w:spacing w:lineRule="auto" w:line="288" w:before="60" w:after="283"/>
        <w:ind w:left="0" w:right="0" w:hanging="9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Intersegment interest income and expense of $1.7 million are included within the amounts shown.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0"/>
        <w:gridCol w:w="844"/>
        <w:gridCol w:w="846"/>
        <w:gridCol w:w="237"/>
        <w:gridCol w:w="1099"/>
        <w:gridCol w:w="122"/>
        <w:gridCol w:w="109"/>
        <w:gridCol w:w="109"/>
        <w:gridCol w:w="109"/>
        <w:gridCol w:w="267"/>
        <w:gridCol w:w="856"/>
        <w:gridCol w:w="137"/>
        <w:gridCol w:w="109"/>
        <w:gridCol w:w="109"/>
        <w:gridCol w:w="109"/>
        <w:gridCol w:w="211"/>
        <w:gridCol w:w="721"/>
        <w:gridCol w:w="109"/>
        <w:gridCol w:w="109"/>
        <w:gridCol w:w="109"/>
        <w:gridCol w:w="109"/>
        <w:gridCol w:w="211"/>
        <w:gridCol w:w="670"/>
        <w:gridCol w:w="109"/>
        <w:gridCol w:w="109"/>
        <w:gridCol w:w="109"/>
        <w:gridCol w:w="109"/>
        <w:gridCol w:w="211"/>
        <w:gridCol w:w="976"/>
        <w:gridCol w:w="161"/>
      </w:tblGrid>
      <w:tr>
        <w:trPr/>
        <w:tc>
          <w:tcPr>
            <w:tcW w:w="111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1,147,418 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Significant segment expenses</w:t>
            </w:r>
            <w:r>
              <w:rPr>
                <w:rFonts w:ascii="Times New Roman;serif" w:hAnsi="Times New Roman;serif"/>
                <w:b w:val="false"/>
                <w:color w:val="000000"/>
                <w:sz w:val="13"/>
              </w:rPr>
              <w:t>1</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1,027,560 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223,884 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1,316,256 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3</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 expense</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97,390 </w:t>
            </w:r>
          </w:p>
        </w:tc>
        <w:tc>
          <w:tcPr>
            <w:tcW w:w="1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significant expense categories and amounts align with the segment-level information that is regularly provided to the CODM.</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depreciation of lease merchandise, which is not included in the CODM's measure of depreciation and amortization.</w:t>
      </w:r>
    </w:p>
    <w:p>
      <w:pPr>
        <w:pStyle w:val="TextBody"/>
        <w:bidi w:val="0"/>
        <w:spacing w:lineRule="auto" w:line="288" w:before="60" w:after="283"/>
        <w:ind w:left="0" w:right="0" w:hanging="9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Intersegment interest income and expense of $4.3 million are included within the amounts shown.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23"/>
        <w:gridCol w:w="874"/>
        <w:gridCol w:w="877"/>
        <w:gridCol w:w="239"/>
        <w:gridCol w:w="1109"/>
        <w:gridCol w:w="123"/>
        <w:gridCol w:w="109"/>
        <w:gridCol w:w="109"/>
        <w:gridCol w:w="109"/>
        <w:gridCol w:w="371"/>
        <w:gridCol w:w="714"/>
        <w:gridCol w:w="191"/>
        <w:gridCol w:w="109"/>
        <w:gridCol w:w="109"/>
        <w:gridCol w:w="109"/>
        <w:gridCol w:w="211"/>
        <w:gridCol w:w="616"/>
        <w:gridCol w:w="109"/>
        <w:gridCol w:w="109"/>
        <w:gridCol w:w="109"/>
        <w:gridCol w:w="109"/>
        <w:gridCol w:w="211"/>
        <w:gridCol w:w="673"/>
        <w:gridCol w:w="109"/>
        <w:gridCol w:w="109"/>
        <w:gridCol w:w="109"/>
        <w:gridCol w:w="109"/>
        <w:gridCol w:w="211"/>
        <w:gridCol w:w="976"/>
        <w:gridCol w:w="160"/>
      </w:tblGrid>
      <w:tr>
        <w:trPr/>
        <w:tc>
          <w:tcPr>
            <w:tcW w:w="11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Progressive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Purchasing Power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Significant segment expenses</w:t>
            </w:r>
            <w:r>
              <w:rPr>
                <w:rFonts w:ascii="Times New Roman;serif" w:hAnsi="Times New Roman;serif"/>
                <w:b w:val="false"/>
                <w:color w:val="000000"/>
                <w:sz w:val="13"/>
              </w:rPr>
              <w:t>1</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1,129,453 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3</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 expense</w:t>
            </w:r>
          </w:p>
        </w:tc>
        <w:tc>
          <w:tcPr>
            <w:tcW w:w="2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100,171 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significant expense categories and amounts align with the segment-level information that is regularly provided to the CODM.</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depreciation of lease merchandise, which is not included in the CODM's measure of depreciation and amortization.</w:t>
      </w:r>
    </w:p>
    <w:p>
      <w:pPr>
        <w:pStyle w:val="TextBody"/>
        <w:bidi w:val="0"/>
        <w:spacing w:lineRule="auto" w:line="288" w:before="60" w:after="283"/>
        <w:ind w:left="0" w:right="0" w:hanging="9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Intersegment interest income and expense of $3.7 million are included within the amounts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"delivering," "driving," "advancing," "expectation," "target," "uncertainty," "outlook," "assumes"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Such risks and uncertainties include, among others, those discussed in "Item 1A. Risk Factors" in the Company's Annual Report on Form 10-K for the fiscal year ended December 31, 2025 (the "2025 Annual Report") and in this Quarterly Report on Form 10-Q for the quarter ended June 30, 2026. Except as required by law, the Company undertakes no obligation to update these forward-looking statements to reflect subsequent events or circumstances after the filing date of this Quarterly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condensed consolidated financial statements as of and for the three and six months ended June 30, 2026 and 2025,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2025 Annual Report.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 Holdings, Inc. ("we," "our," "us," the "Company," or "PROG Holdings") is a financial technology holding company that provides transparent and competitive payment options to consumers. PROG Holdings has three reportable segments: (i) Progressive Leasing, an in-store, app-based, and e-commerce point-of-sale lease-to-own solutions provider; (ii) Purchasing Power, a voluntary employee benefit program provider, allowing employees to purchase brand-name products and services from Purchasing Power and then pay for those purchases through either automatic payroll deductions or allotments; and (iii) Four Technologies, Inc. ("Four"), which offers Buy Now, Pay Later ("BNPL") payment options to consumers through the Four platform.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Vive Financial ("Vive"), an omnichannel provider of second-look revolving credit products, had been an operating segment prior to October 20, 2025. On that date, the Company sold substantially all of Vive's loan receivables portfolio and began the process of discontinuing its remaining operations. Vive is reported as discontinued operations in our condensed consolidated financial statements for all periods presented. All of Vive's revenues and expenses, other than allocated corporate overhead, are excluded from the results of continuing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Progressive Leasing segment provides consumers with lease-purchase solutions through its point-of-sale partner locations and e-commerce website partners (collectively, "POS partners"), as well as through its direct-to-consumer app, PROG Marketplace.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Purchasing Power segment is a voluntary employee benefit program that allows employees of participating employer-clients to purchase brand-name products and services and pay for those purchases over time through payroll deductions or allotments. Products available through the platform include consumer electronics, home goods, furniture, appliances, and other merchandise, as well as certain services. Millions of employees nationwide have access to Purchasing Power's purchasing solutions. We acquired Purchasing Power on January 2, 2026, and its results are included in our condensed consolidated financial statements beginning on the acquisition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Four allows shoppers to pay for merchandise through four interest-free installments. Four's proprietary platform capabilities and its base of customers and retailers expand and diversify PROG Holdings' ecosystem of financial technology offerings by introducing another payment solution to its customers. Shoppers use Four to purchase furniture, clothing, electronics, health and beauty products, footwear, jewelry, and other consumer goods from retailers across the United States. The average ticket size of a Four transaction is significantly smaller than a transaction with Progressive Leasing or 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 Holdings also owns MoneyApp, a mobile application that offers customers short-term liquidity solutions through cash advances. MoneyApp is not a reportable segment in 2026 as its financial results are not expected to be significant to the Company's condensed consolidated financial results. MoneyApp's financial results are reported within "Other" for segment reporting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Acquisition of Purchasing Power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we completed the acquisition of Purchasing Power for $424.2 million in cash. In addition, Purchasing Power had $338.6 million of non-recourse funding debt that remained in place following the closing of the acquisition. The results of Purchasing Power are included in our condensed consolidated financial statements beginning on the acquisition date. Results for periods prior to the acquisition date are not included in this MD&amp;A. See Note 2 of the condensed consolidated financial statements for additional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Macroeconomic and Business Environment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increased cost of living and recent rise in fuel costs has continued to have a disproportionate negative effect on our customers' disposable income, negatively affecting demand for many products offered by our businesses, as well as in customer payment performance. The significant increase in inflation resulting from the war in Iran and related geopolitical disruption has further pressured our customers' budgets and unfavorably impacted consumer confidence within our customer base, resulting in a decrease in demand for the types of larger-ticket, durable consumer goods offered by many of our retail partners and by our Purchasing Power business.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Progressive Leasing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 entered 2026 with a smaller lease portfolio, as measured by its gross leased asset balance, compared to 2025, which resulted in a decrease in lease revenues when compared to the three and six months ended June 30, 2025. Gross margin as a percentage of revenue increased from the prior-year periods, driven primarily by a lower rate of early purchase option activity. Macroeconomic conditions contributed to fewer customers exercising early purchase options and more customers making payments over the full lease term, which generally results in greater margin realization.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continues to operate in a challenging macroeconomic environment due to the factors described above. In addition, American Signature, Inc., one of Progressive Leasing's POS partners, filed for bankruptcy in November 2025, which will result in the permanent closure of many of its stores in 2026. Those closures have had and will continue to have an unfavorable impact on Progressive Leasing's GMV, revenue, and earnings from continuing operations before income tax in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Customer payment delinquencies were elevated at the end of 2024 and during the first quarter of 2025, which prompted us to tighten our decisioning posture to maintain a healthy lease portfolio. While this action benefited our lease portfolio performance, it also negatively impacted Progressive Leasing's GMV during the periods subsequent to the change. In addition, elevated delinquencies in the second quarter of 2026 contributed to a provision for lease merchandise write-offs as a percentage of Progressive Leasing revenue of 8.4% compared to 7.5% in the prior year period. As a result, Progressive Leasing recently further tightened its decisioning posture, which is expected to continue to pressure GMV in future periods while supporting portfolio performance. Despite these trends, customer payment activity remained within expected ranges, and gross margin as a percentage of revenues increased during the three and six months ended June 30, 2026 when compared to the prior year.</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customer demand for the larger-ticket products and services sold by Purchasing Power also has been adversely impacted by the macroeconomic headwinds affecting Progressive Leasing's performance. However, we expect that Purchasing Power's recent focus on improving eligible employee-customer penetration, continuing to create new, attractive merchandising choices for its customers, and its addition of several new employer-clients, will help offset the impacts of such decreases in demand.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While customer payment delinquencies and write-offs for Purchasing Power are generally lower than those of Progressive Leasing due to Purchasing Power's payroll deduction and allotment repayment model, delinquencies on non-federal employee receivables were elevated in the second quarter of 2026, which resulted in a higher than estimated provision for credit losses. Delinquencies for federal government employee receivables have improved compared to the elevated delinquencies experienced in 2025 resulting from various workforce disruptions, including DOGE workforce reductions and multiple government shutdowns. We continue to monitor these conditions, as well as increased turnover (both voluntary and involuntary) at Purchasing Power's clients, as prolonged uncertainty could pose additional risk to Purchasing Power's receivables performance.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Four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Due to the average ticket size of a BNPL transaction with Four being significantly lower than a transaction with Progressive Leasing and Purchasing Power, we believe demand for products purchased through the use of Four is not as impacted by the macroeconomic headwinds discussed above to the same degree as demand for larger-ticket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significant financial highlights from the three months ended June 30, 2026:</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We reported consolidated revenues of $719.7 million, which was a 22.3% increase compared to the $588.5 million we reported for the second quarter of 2025. The increase in consolidated revenues was primarily due to the $130.4 million of revenues contributed by Purchasing Power, which we acquired on January 2, 2026. Additionally, revenues at Four increased by $19.0 million, compared to the prior year period, due to continued growth in its BNPL transactions. These increases were offset by a $19.8 million decrease in revenue at Progressive Leasing, which was driven primarily by a smaller gross leased asset balance throughout the second quarter of 2026 when compared to the same period in the prior year.</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GMV from Four increased by $165.5 million, due to an increase in Four loan originations in the second quarter of 2026 compared to the second quarter of 2025, as a result of the continued growth in that business. GMV increased by $14.2 million for Progressive Leasing in the second quarter of 2026, compared to the same period in the prior year. The increase in GMV for Progressive Leasing was due primarily to $23.0 million in GMV growth from e-commerce channels. This increase was offset by a reduction in GMV due to the higher cost of living experienced by our customer base, including increased fuel prices, and an uncertain macroeconomic outlook, all of which have negatively impacted consumer confidence and demand for our lease-to-own offering. GMV relating to Purchasing Power was $158.8 million and no GMV was reported in the prior year period, as the acquisition was completed on January 2, 2026.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Earnings from continuing operations before income taxes decreased to $50.8 million compared to $51.2 million in the same period in 2025, primarily due to a $6.1 million decline in earnings at Progressive Leasing. The decrease at Progressive Leasing was driven by a $4.8 million charge related to the settlement of the litigation discussed in Note 8 to the accompanying condensed consolidated financial statements, higher personnel costs, higher net interest expense, and an increase in provision for lease merchandise write-offs. These impacts were partially offset by a $4.7 million gain on sale of lease receivables and higher earnings at Four and our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100" w:after="283"/>
        <w:jc w:val="left"/>
        <w:rPr/>
      </w:pPr>
      <w:r>
        <w:rPr>
          <w:rFonts w:ascii="Times New Roman;serif" w:hAnsi="Times New Roman;serif"/>
          <w:b w:val="false"/>
          <w:i/>
          <w:color w:val="000000"/>
          <w:sz w:val="20"/>
        </w:rPr>
        <w:t>Gross Merchandise Volume</w:t>
      </w:r>
      <w:r>
        <w:rPr>
          <w:rFonts w:ascii="Times New Roman;serif" w:hAnsi="Times New Roman;serif"/>
          <w:b w:val="false"/>
          <w:color w:val="000000"/>
          <w:sz w:val="20"/>
        </w:rPr>
        <w:t>. We believe GMV is a key performance indicator of our Progressive Leasing, Purchasing Power and Four segments, as it provides the total value of new leases, transaction orders, and loans written into our portfolio over a specified time period. GMV does not represent revenues earned by the Company, but rather is a leading indicator we use in forecasting revenues the Company may earn. Progressive Leasing's GMV is defined as the retail price of merchandise acquired by Progressive Leasing, which it then expects to lease to its customers. GMV for Purchasing Power is defined as the total value of merchandise and services purchased and delivered to customers through its platform. GMV for Four is defined as gross loan originations.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GMV from continuing operations for the Company for the periods presented:</w:t>
      </w:r>
    </w:p>
    <w:tbl>
      <w:tblPr>
        <w:tblW w:w="7570" w:type="dxa"/>
        <w:jc w:val="left"/>
        <w:tblInd w:w="0" w:type="dxa"/>
        <w:tblLayout w:type="fixed"/>
        <w:tblCellMar>
          <w:top w:w="28" w:type="dxa"/>
          <w:left w:w="28" w:type="dxa"/>
          <w:bottom w:w="28" w:type="dxa"/>
          <w:right w:w="28" w:type="dxa"/>
        </w:tblCellMar>
      </w:tblPr>
      <w:tblGrid>
        <w:gridCol w:w="803"/>
        <w:gridCol w:w="707"/>
        <w:gridCol w:w="7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and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nmf - calculation is not meaningful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Leasing's GMV increased compared to the second quarter of 2025 due primarily to increases in GMV from e-commerce channels. E-commerce channels generated 25.6% of Progressive Leasing's GMV in the second quarter of 2026 compared to 20.9% in the second quarter of 2025. This increase was offset by a reduction in GMV driven by inflationary pressures, an elevated cost of living, and an uncertain macroeconomic outlook, all of which have negatively impacted consumer confidence and demand for our lease-to-own offering. The increase in Four's GMV is primarily attributable to the continued expansion of the Four BNPL platform, reflecting growth through higher transaction volumes and average order value from existing and new customers over the period.</w:t>
      </w:r>
    </w:p>
    <w:p>
      <w:pPr>
        <w:pStyle w:val="TextBody"/>
        <w:bidi w:val="0"/>
        <w:spacing w:lineRule="auto" w:line="288" w:before="100" w:after="283"/>
        <w:jc w:val="left"/>
        <w:rPr/>
      </w:pPr>
      <w:r>
        <w:rPr>
          <w:rFonts w:ascii="Times New Roman;serif" w:hAnsi="Times New Roman;serif"/>
          <w:b w:val="false"/>
          <w:i/>
          <w:color w:val="000000"/>
          <w:sz w:val="20"/>
        </w:rPr>
        <w:t>Active Customer Count.</w:t>
      </w:r>
      <w:r>
        <w:rPr>
          <w:color w:val="000000"/>
        </w:rPr>
        <w:t xml:space="preserve"> </w:t>
      </w:r>
      <w:r>
        <w:rPr>
          <w:rFonts w:ascii="Times New Roman;serif" w:hAnsi="Times New Roman;serif"/>
          <w:b w:val="false"/>
          <w:color w:val="000000"/>
          <w:sz w:val="20"/>
        </w:rPr>
        <w:t>Our active customer count represents the total number of customers that have an active lease agreement with Progressive Leasing, an active receivable with Purchasing Power, or an active loan with Four. Active customer counts include customers that may have an active agreement with more than one segment. The following table presents our active customer count from continuing operations for each segment:</w:t>
      </w:r>
    </w:p>
    <w:tbl>
      <w:tblPr>
        <w:tblW w:w="6038" w:type="dxa"/>
        <w:jc w:val="center"/>
        <w:tblInd w:w="0" w:type="dxa"/>
        <w:tblLayout w:type="fixed"/>
        <w:tblCellMar>
          <w:top w:w="28" w:type="dxa"/>
          <w:left w:w="28" w:type="dxa"/>
          <w:bottom w:w="28" w:type="dxa"/>
          <w:right w:w="28" w:type="dxa"/>
        </w:tblCellMar>
      </w:tblPr>
      <w:tblGrid>
        <w:gridCol w:w="1596"/>
        <w:gridCol w:w="1405"/>
        <w:gridCol w:w="1409"/>
        <w:gridCol w:w="233"/>
        <w:gridCol w:w="233"/>
        <w:gridCol w:w="156"/>
        <w:gridCol w:w="109"/>
        <w:gridCol w:w="109"/>
        <w:gridCol w:w="109"/>
        <w:gridCol w:w="233"/>
        <w:gridCol w:w="233"/>
        <w:gridCol w:w="213"/>
      </w:tblGrid>
      <w:tr>
        <w:trPr/>
        <w:tc>
          <w:tcPr>
            <w:tcW w:w="15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June 30 (unaudited and in thousands)</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Active customer count from continuing operations:</w:t>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number of active customers for Progressive Leasing decreased due to a decrease in consumer demand for many of the durable leasable goods offered by our retail partners, due to the continued elevated costs of living and inflationary pressures facing our customers. The increase in the number of customers for Four was the result of continued growth in BNPL transactions, which have a significantly smaller transaction size, as compared to our Progressive Leasing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Key Components of Earnings from Continuing Operations Before Income Tax Expense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this MD&amp;A section, we discuss the key components of our condensed consolidated results. For the three and six months ended June 30, 2026 and the comparable prior year periods, some of the key revenue, cost and expense items that affected earnings before income taxes were as follows:</w:t>
      </w:r>
    </w:p>
    <w:p>
      <w:pPr>
        <w:pStyle w:val="TextBody"/>
        <w:bidi w:val="0"/>
        <w:spacing w:lineRule="auto" w:line="288" w:before="100" w:after="283"/>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We separate our total revenues into three components: (i) lease revenues and fees, (ii) product and service revenues and (iii) other revenues. Lease revenues and fees include all revenues derived from lease agreements from our Progressive Leasing segment. Lease revenues are recorded net of a provision for uncollectible renewal payments. Product and service revenues represent Purchasing Power's sales of products and the revenue earned relating to arranging for services that customers purchase from Purchasing Power, net of estimated returns. Other revenues represents transaction income, subscription revenues, annual and other fees earned relating to loans in our Four segment and our other strategic businesses, as well as Progressive Leasing affiliate commissions and imputed interest income recognized on a portion of Purchasing Power's receivables portfolio.</w:t>
      </w:r>
    </w:p>
    <w:p>
      <w:pPr>
        <w:pStyle w:val="TextBody"/>
        <w:bidi w:val="0"/>
        <w:spacing w:lineRule="auto" w:line="288" w:before="100" w:after="283"/>
        <w:jc w:val="left"/>
        <w:rPr/>
      </w:pPr>
      <w:r>
        <w:rPr>
          <w:rFonts w:ascii="Times New Roman;serif" w:hAnsi="Times New Roman;serif"/>
          <w:b w:val="false"/>
          <w:i/>
          <w:color w:val="000000"/>
          <w:sz w:val="20"/>
        </w:rPr>
        <w:t>Depreciation of lease merchandise</w:t>
      </w:r>
      <w:r>
        <w:rPr>
          <w:rFonts w:ascii="Times New Roman;serif" w:hAnsi="Times New Roman;serif"/>
          <w:b w:val="false"/>
          <w:color w:val="000000"/>
          <w:sz w:val="20"/>
        </w:rPr>
        <w:t>. Depreciation of lease merchandise reflects the expense associated with depreciating merchandise leased to customers by Progressive Leasing.</w:t>
      </w:r>
    </w:p>
    <w:p>
      <w:pPr>
        <w:pStyle w:val="TextBody"/>
        <w:bidi w:val="0"/>
        <w:spacing w:lineRule="auto" w:line="288" w:before="100" w:after="283"/>
        <w:jc w:val="left"/>
        <w:rPr/>
      </w:pPr>
      <w:r>
        <w:rPr>
          <w:rFonts w:ascii="Times New Roman;serif" w:hAnsi="Times New Roman;serif"/>
          <w:b w:val="false"/>
          <w:i/>
          <w:color w:val="000000"/>
          <w:sz w:val="20"/>
        </w:rPr>
        <w:t xml:space="preserve">Cost of product sales. </w:t>
      </w:r>
      <w:r>
        <w:rPr>
          <w:rFonts w:ascii="Times New Roman;serif" w:hAnsi="Times New Roman;serif"/>
          <w:b w:val="false"/>
          <w:color w:val="242424"/>
          <w:sz w:val="20"/>
        </w:rPr>
        <w:t>Cost of product sales represents the cost of merchandise purchased by Purchasing Power from third</w:t>
        <w:noBreakHyphen/>
        <w:t>party vendors for resale, along with associated fulfillment and distribution costs.</w:t>
      </w:r>
    </w:p>
    <w:p>
      <w:pPr>
        <w:pStyle w:val="TextBody"/>
        <w:bidi w:val="0"/>
        <w:spacing w:lineRule="auto" w:line="288" w:before="100" w:after="283"/>
        <w:jc w:val="left"/>
        <w:rPr/>
      </w:pPr>
      <w:r>
        <w:rPr>
          <w:rFonts w:ascii="Times New Roman;serif" w:hAnsi="Times New Roman;serif"/>
          <w:b w:val="false"/>
          <w:i/>
          <w:color w:val="000000"/>
          <w:sz w:val="20"/>
        </w:rPr>
        <w:t>Provision for lease merchandise write-offs.</w:t>
      </w:r>
      <w:r>
        <w:rPr>
          <w:color w:val="000000"/>
        </w:rPr>
        <w:t xml:space="preserve"> </w:t>
      </w:r>
      <w:r>
        <w:rPr>
          <w:rFonts w:ascii="Times New Roman;serif" w:hAnsi="Times New Roman;serif"/>
          <w:b w:val="false"/>
          <w:color w:val="000000"/>
          <w:sz w:val="20"/>
        </w:rPr>
        <w:t>The provision for lease merchandise write-offs represents the estimated merchandise losses incurred and adjustments for changes in estimates for the allowance for lease merchandise write-offs.</w:t>
      </w:r>
    </w:p>
    <w:p>
      <w:pPr>
        <w:pStyle w:val="TextBody"/>
        <w:bidi w:val="0"/>
        <w:spacing w:lineRule="auto" w:line="288" w:before="100" w:after="283"/>
        <w:jc w:val="left"/>
        <w:rPr/>
      </w:pPr>
      <w:r>
        <w:rPr>
          <w:rFonts w:ascii="Times New Roman;serif" w:hAnsi="Times New Roman;serif"/>
          <w:b w:val="false"/>
          <w:i/>
          <w:color w:val="000000"/>
          <w:sz w:val="20"/>
        </w:rPr>
        <w:t>Operating expenses</w:t>
      </w:r>
      <w:r>
        <w:rPr>
          <w:rFonts w:ascii="Times New Roman;serif" w:hAnsi="Times New Roman;serif"/>
          <w:b w:val="false"/>
          <w:color w:val="000000"/>
          <w:sz w:val="20"/>
        </w:rPr>
        <w:t>. Operating expenses include primarily personnel costs, stock-based compensation, occupancy costs, advertising, decisioning expense, professional services expense, sales acquisition costs, computer software expense, bank charges and processing fees, fixed asset depreciation expense, intangible amortization expense, legal settlement expense and restructuring expenses, among other expenses.</w:t>
      </w:r>
    </w:p>
    <w:p>
      <w:pPr>
        <w:pStyle w:val="TextBody"/>
        <w:bidi w:val="0"/>
        <w:spacing w:lineRule="auto" w:line="288" w:before="100" w:after="283"/>
        <w:jc w:val="left"/>
        <w:rPr/>
      </w:pPr>
      <w:r>
        <w:rPr>
          <w:rFonts w:ascii="Times New Roman;serif" w:hAnsi="Times New Roman;serif"/>
          <w:b w:val="false"/>
          <w:i/>
          <w:color w:val="000000"/>
          <w:sz w:val="20"/>
        </w:rPr>
        <w:t xml:space="preserve">Provision for credit losses. </w:t>
      </w:r>
      <w:r>
        <w:rPr>
          <w:rFonts w:ascii="Times New Roman;serif" w:hAnsi="Times New Roman;serif"/>
          <w:b w:val="false"/>
          <w:color w:val="000000"/>
          <w:sz w:val="20"/>
        </w:rPr>
        <w:t>The provision for credit losses reflects the expected lifetime credit losses on Purchasing Power's, Four's and other strategic operations receivables, determined using the Current Expected Credit Losses ("CECL") framework and incorporating historical loss experience, current conditions, and reasonable and supportable forecasts. The provision for credit losses on Purchasing Power's receivables are net of estimated recoveries from its program of selling portfolios of charged-off receivables to third-parties.</w:t>
      </w:r>
    </w:p>
    <w:p>
      <w:pPr>
        <w:pStyle w:val="TextBody"/>
        <w:bidi w:val="0"/>
        <w:spacing w:lineRule="auto" w:line="288" w:before="100" w:after="283"/>
        <w:jc w:val="left"/>
        <w:rPr/>
      </w:pPr>
      <w:r>
        <w:rPr>
          <w:rFonts w:ascii="Times New Roman;serif" w:hAnsi="Times New Roman;serif"/>
          <w:b w:val="false"/>
          <w:i/>
          <w:color w:val="000000"/>
          <w:sz w:val="20"/>
        </w:rPr>
        <w:t>Gain on sale of lease receivables</w:t>
      </w:r>
      <w:r>
        <w:rPr>
          <w:rFonts w:ascii="Times New Roman;serif" w:hAnsi="Times New Roman;serif"/>
          <w:b w:val="false"/>
          <w:color w:val="000000"/>
          <w:sz w:val="20"/>
        </w:rPr>
        <w:t>. Gain on sale of lease receivables reflects income recognized by Progressive Leasing from its program of selling portfolios of charged</w:t>
        <w:noBreakHyphen/>
        <w:t>off lease receivables to third-parties.</w:t>
      </w:r>
    </w:p>
    <w:p>
      <w:pPr>
        <w:pStyle w:val="TextBody"/>
        <w:bidi w:val="0"/>
        <w:spacing w:lineRule="auto" w:line="288" w:before="100" w:after="283"/>
        <w:jc w:val="left"/>
        <w:rPr/>
      </w:pPr>
      <w:r>
        <w:rPr>
          <w:rFonts w:ascii="Times New Roman;serif" w:hAnsi="Times New Roman;serif"/>
          <w:b w:val="false"/>
          <w:i/>
          <w:color w:val="000000"/>
          <w:sz w:val="20"/>
        </w:rPr>
        <w:t>Gain on change in fair value of receivables</w:t>
      </w:r>
      <w:r>
        <w:rPr>
          <w:rFonts w:ascii="Times New Roman;serif" w:hAnsi="Times New Roman;serif"/>
          <w:b w:val="false"/>
          <w:color w:val="000000"/>
          <w:sz w:val="20"/>
        </w:rPr>
        <w:t>. Receivables associated with the Purchasing Power acquired portfolio are measured at fair value on a recurring basis pursuant to the Company's election of the fair value option under ASC 825. Changes in fair value attributable to the passage of time, credit performance, discount rates, and other assumptions, are recognized as a gain or loss on changes in fair value of the receivables.</w:t>
      </w:r>
    </w:p>
    <w:p>
      <w:pPr>
        <w:pStyle w:val="TextBody"/>
        <w:bidi w:val="0"/>
        <w:spacing w:lineRule="auto" w:line="288" w:before="100" w:after="283"/>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consists of interest incurred on the Company's debt.</w:t>
      </w:r>
    </w:p>
    <w:p>
      <w:pPr>
        <w:pStyle w:val="TextBody"/>
        <w:bidi w:val="0"/>
        <w:spacing w:lineRule="auto" w:line="288" w:before="100" w:after="283"/>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consists of interest earned on the Company's deposits in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 – Three months ended June 30, 2026 and 2025</w:t>
      </w:r>
    </w:p>
    <w:tbl>
      <w:tblPr>
        <w:tblW w:w="10205" w:type="dxa"/>
        <w:jc w:val="left"/>
        <w:tblInd w:w="0" w:type="dxa"/>
        <w:tblLayout w:type="fixed"/>
        <w:tblCellMar>
          <w:top w:w="28" w:type="dxa"/>
          <w:left w:w="28" w:type="dxa"/>
          <w:bottom w:w="28" w:type="dxa"/>
          <w:right w:w="28" w:type="dxa"/>
        </w:tblCellMar>
      </w:tblPr>
      <w:tblGrid>
        <w:gridCol w:w="1800"/>
        <w:gridCol w:w="1544"/>
        <w:gridCol w:w="1547"/>
        <w:gridCol w:w="211"/>
        <w:gridCol w:w="826"/>
        <w:gridCol w:w="109"/>
        <w:gridCol w:w="109"/>
        <w:gridCol w:w="109"/>
        <w:gridCol w:w="109"/>
        <w:gridCol w:w="211"/>
        <w:gridCol w:w="826"/>
        <w:gridCol w:w="109"/>
        <w:gridCol w:w="109"/>
        <w:gridCol w:w="109"/>
        <w:gridCol w:w="109"/>
        <w:gridCol w:w="211"/>
        <w:gridCol w:w="787"/>
        <w:gridCol w:w="109"/>
        <w:gridCol w:w="109"/>
        <w:gridCol w:w="109"/>
        <w:gridCol w:w="109"/>
        <w:gridCol w:w="307"/>
        <w:gridCol w:w="309"/>
        <w:gridCol w:w="318"/>
      </w:tblGrid>
      <w:tr>
        <w:trPr/>
        <w:tc>
          <w:tcPr>
            <w:tcW w:w="180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8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earnings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 – Six months ended June 30, 2026 and 2025</w:t>
      </w:r>
    </w:p>
    <w:tbl>
      <w:tblPr>
        <w:tblW w:w="10205" w:type="dxa"/>
        <w:jc w:val="left"/>
        <w:tblInd w:w="0" w:type="dxa"/>
        <w:tblLayout w:type="fixed"/>
        <w:tblCellMar>
          <w:top w:w="28" w:type="dxa"/>
          <w:left w:w="28" w:type="dxa"/>
          <w:bottom w:w="28" w:type="dxa"/>
          <w:right w:w="28" w:type="dxa"/>
        </w:tblCellMar>
      </w:tblPr>
      <w:tblGrid>
        <w:gridCol w:w="1708"/>
        <w:gridCol w:w="1442"/>
        <w:gridCol w:w="1445"/>
        <w:gridCol w:w="211"/>
        <w:gridCol w:w="976"/>
        <w:gridCol w:w="109"/>
        <w:gridCol w:w="109"/>
        <w:gridCol w:w="109"/>
        <w:gridCol w:w="109"/>
        <w:gridCol w:w="211"/>
        <w:gridCol w:w="976"/>
        <w:gridCol w:w="109"/>
        <w:gridCol w:w="109"/>
        <w:gridCol w:w="109"/>
        <w:gridCol w:w="109"/>
        <w:gridCol w:w="211"/>
        <w:gridCol w:w="783"/>
        <w:gridCol w:w="109"/>
        <w:gridCol w:w="109"/>
        <w:gridCol w:w="109"/>
        <w:gridCol w:w="109"/>
        <w:gridCol w:w="307"/>
        <w:gridCol w:w="309"/>
        <w:gridCol w:w="318"/>
      </w:tblGrid>
      <w:tr>
        <w:trPr/>
        <w:tc>
          <w:tcPr>
            <w:tcW w:w="17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earnings from discontinued operations,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Earnings (Loss) from Continuing Operations Before Income Tax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our earnings (loss) from continuing operations before income tax expense by reportable segment is as follows:</w:t>
      </w:r>
    </w:p>
    <w:tbl>
      <w:tblPr>
        <w:tblW w:w="10205" w:type="dxa"/>
        <w:jc w:val="center"/>
        <w:tblInd w:w="0" w:type="dxa"/>
        <w:tblLayout w:type="fixed"/>
        <w:tblCellMar>
          <w:top w:w="28" w:type="dxa"/>
          <w:left w:w="28" w:type="dxa"/>
          <w:bottom w:w="28" w:type="dxa"/>
          <w:right w:w="28" w:type="dxa"/>
        </w:tblCellMar>
      </w:tblPr>
      <w:tblGrid>
        <w:gridCol w:w="1899"/>
        <w:gridCol w:w="1662"/>
        <w:gridCol w:w="1650"/>
        <w:gridCol w:w="211"/>
        <w:gridCol w:w="721"/>
        <w:gridCol w:w="109"/>
        <w:gridCol w:w="109"/>
        <w:gridCol w:w="109"/>
        <w:gridCol w:w="109"/>
        <w:gridCol w:w="211"/>
        <w:gridCol w:w="721"/>
        <w:gridCol w:w="109"/>
        <w:gridCol w:w="109"/>
        <w:gridCol w:w="109"/>
        <w:gridCol w:w="109"/>
        <w:gridCol w:w="211"/>
        <w:gridCol w:w="677"/>
        <w:gridCol w:w="109"/>
        <w:gridCol w:w="109"/>
        <w:gridCol w:w="109"/>
        <w:gridCol w:w="109"/>
        <w:gridCol w:w="308"/>
        <w:gridCol w:w="308"/>
        <w:gridCol w:w="318"/>
      </w:tblGrid>
      <w:tr>
        <w:trPr/>
        <w:tc>
          <w:tcPr>
            <w:tcW w:w="189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earnings (loss)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 - Calculation is not me</w:t>
      </w:r>
      <w:r>
        <w:rPr>
          <w:rFonts w:ascii="Times New Roman;serif" w:hAnsi="Times New Roman;serif"/>
          <w:b w:val="false"/>
          <w:color w:val="000000"/>
          <w:sz w:val="16"/>
        </w:rPr>
        <w:t>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63"/>
        <w:gridCol w:w="1629"/>
        <w:gridCol w:w="1616"/>
        <w:gridCol w:w="211"/>
        <w:gridCol w:w="721"/>
        <w:gridCol w:w="109"/>
        <w:gridCol w:w="109"/>
        <w:gridCol w:w="109"/>
        <w:gridCol w:w="109"/>
        <w:gridCol w:w="211"/>
        <w:gridCol w:w="826"/>
        <w:gridCol w:w="109"/>
        <w:gridCol w:w="109"/>
        <w:gridCol w:w="109"/>
        <w:gridCol w:w="109"/>
        <w:gridCol w:w="211"/>
        <w:gridCol w:w="675"/>
        <w:gridCol w:w="109"/>
        <w:gridCol w:w="109"/>
        <w:gridCol w:w="109"/>
        <w:gridCol w:w="109"/>
        <w:gridCol w:w="307"/>
        <w:gridCol w:w="309"/>
        <w:gridCol w:w="318"/>
      </w:tblGrid>
      <w:tr>
        <w:trPr/>
        <w:tc>
          <w:tcPr>
            <w:tcW w:w="186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earnings (loss)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 - Calculation is not me</w:t>
      </w:r>
      <w:r>
        <w:rPr>
          <w:rFonts w:ascii="Times New Roman;serif" w:hAnsi="Times New Roman;serif"/>
          <w:b w:val="false"/>
          <w:color w:val="000000"/>
          <w:sz w:val="16"/>
        </w:rPr>
        <w:t>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Progressive Leasing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Progressive Leasing results of operations – Three months ended June 30, 2026 and 2025</w:t>
      </w:r>
    </w:p>
    <w:tbl>
      <w:tblPr>
        <w:tblW w:w="10205" w:type="dxa"/>
        <w:jc w:val="left"/>
        <w:tblInd w:w="0" w:type="dxa"/>
        <w:tblLayout w:type="fixed"/>
        <w:tblCellMar>
          <w:top w:w="28" w:type="dxa"/>
          <w:left w:w="28" w:type="dxa"/>
          <w:bottom w:w="28" w:type="dxa"/>
          <w:right w:w="28" w:type="dxa"/>
        </w:tblCellMar>
      </w:tblPr>
      <w:tblGrid>
        <w:gridCol w:w="1339"/>
        <w:gridCol w:w="1143"/>
        <w:gridCol w:w="1152"/>
        <w:gridCol w:w="211"/>
        <w:gridCol w:w="826"/>
        <w:gridCol w:w="109"/>
        <w:gridCol w:w="255"/>
        <w:gridCol w:w="256"/>
        <w:gridCol w:w="482"/>
        <w:gridCol w:w="211"/>
        <w:gridCol w:w="826"/>
        <w:gridCol w:w="109"/>
        <w:gridCol w:w="255"/>
        <w:gridCol w:w="256"/>
        <w:gridCol w:w="482"/>
        <w:gridCol w:w="211"/>
        <w:gridCol w:w="769"/>
        <w:gridCol w:w="109"/>
        <w:gridCol w:w="109"/>
        <w:gridCol w:w="109"/>
        <w:gridCol w:w="109"/>
        <w:gridCol w:w="277"/>
        <w:gridCol w:w="281"/>
        <w:gridCol w:w="319"/>
      </w:tblGrid>
      <w:tr>
        <w:trPr/>
        <w:tc>
          <w:tcPr>
            <w:tcW w:w="13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decrease in revenues was primarily due to a lower gross leased asset balance as a result of the tightening of our decisioning posture during 2025, and a decrease in demand for the durable leasable products offered by many of our retail partners. We believe the inflationary and other macroeconomic factors had a disproportionate negative effect on our customers' disposable income, negatively affecting demand for many products offered by our retail partners.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margin is a key performance measure for our Progressive Leasing segment, which generates lease revenue from transactions that include associated depreciation of the merchandise on lease, making gross margin a meaningful indicator of profit. The increase in Progressive Leasing's gross margin percentage reflects a decline in customers' electing early purchase options, as macroeconomic conditions contributed to customers choosing to make payments over the full contractual lease term rather than exercising early purchase options, which generally result in lower margin realization.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lease merchandise write-offs increased $3.9 million compared to the same period in 2025. The provision for lease merchandise write-offs as a percentage of revenues increased to 8.4% during the second quarter of 2026 from 7.5% in the same period in 2025, primarily reflecting higher period-end delinquency levels, as well as continued pressure on customer payment performance in a challenging macroeconomic environment. Given the significant uncertainty regarding the impacts of geopolitical disruptions, inflation, tariffs, increased fuel prices, elevated interest rates, and unemployment rates on our business, and the potential effects of such developments on Progressive Leasing's POS partners, customers, and business going forward, a high level of estimation was involved in determining the allowance as of June 30, 2026. Actual lease merchandise write-offs could differ materially from the allowance for those write-offs.</w:t>
      </w:r>
    </w:p>
    <w:p>
      <w:pPr>
        <w:pStyle w:val="TextBody"/>
        <w:bidi w:val="0"/>
        <w:spacing w:lineRule="auto" w:line="288" w:before="100" w:after="283"/>
        <w:jc w:val="left"/>
        <w:rPr>
          <w:rFonts w:ascii="Times New Roman;serif" w:hAnsi="Times New Roman;serif"/>
          <w:b w:val="false"/>
          <w:color w:val="242424"/>
          <w:sz w:val="20"/>
        </w:rPr>
      </w:pPr>
      <w:r>
        <w:rPr>
          <w:rFonts w:ascii="Times New Roman;serif" w:hAnsi="Times New Roman;serif"/>
          <w:b w:val="false"/>
          <w:color w:val="242424"/>
          <w:sz w:val="20"/>
        </w:rPr>
        <w:t>Selling, general and administrative expense increased resulting from the following:</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242424"/>
          <w:sz w:val="20"/>
        </w:rPr>
        <w:t xml:space="preserve">Personnel costs increased by </w:t>
      </w:r>
      <w:r>
        <w:rPr>
          <w:rFonts w:ascii="Times New Roman;serif" w:hAnsi="Times New Roman;serif"/>
          <w:b w:val="false"/>
          <w:color w:val="000000"/>
          <w:sz w:val="20"/>
        </w:rPr>
        <w:t>$2.3 million</w:t>
      </w:r>
      <w:r>
        <w:rPr>
          <w:color w:val="242424"/>
        </w:rPr>
        <w:t xml:space="preserve"> </w:t>
      </w:r>
      <w:r>
        <w:rPr>
          <w:rFonts w:ascii="Times New Roman;serif" w:hAnsi="Times New Roman;serif"/>
          <w:b w:val="false"/>
          <w:color w:val="242424"/>
          <w:sz w:val="20"/>
        </w:rPr>
        <w:t>due to an increase in incentive compensation expense when compared to 2025; and</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242424"/>
          <w:sz w:val="20"/>
        </w:rPr>
        <w:t xml:space="preserve">Stock-based compensation increased </w:t>
      </w:r>
      <w:r>
        <w:rPr>
          <w:rFonts w:ascii="Times New Roman;serif" w:hAnsi="Times New Roman;serif"/>
          <w:b w:val="false"/>
          <w:color w:val="000000"/>
          <w:sz w:val="20"/>
        </w:rPr>
        <w:t>$1.7 million, primarily due to (i) a higher aggregated fair value of restricted stock units granted during 2026 and (ii) higher expense recognized on performance stock units due to increased expected award achievement levels compared to the prior-year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other expenses was attributable to Progressive Leasing incurring a one-time $4.8 million expense to settle a legal dispute during the three months ended June 30, 2026, with no comparable expense during the same period in the prior year. This increase was offset by lower intangible amortization expense resulting from a significant intangible asset becoming fully amortized in April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2026, Progressive Leasing sold a portfolio of charged-off lease receivables to a third-party for $4.7 million in cash and recognized a gain of $4.7 million as the carrying amount of the charged-off receivables had been reduced to zero. There were no similar sales during the three months ended June 30,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for the three months ended June 30, 2026 was higher than the same period in 2025 due to an increase in debt used for the acquisition of Purchasing Power on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Progressive Leasing results of operations – Six months ended June 30, 2026 and 2025</w:t>
      </w:r>
    </w:p>
    <w:tbl>
      <w:tblPr>
        <w:tblW w:w="10205" w:type="dxa"/>
        <w:jc w:val="left"/>
        <w:tblInd w:w="0" w:type="dxa"/>
        <w:tblLayout w:type="fixed"/>
        <w:tblCellMar>
          <w:top w:w="28" w:type="dxa"/>
          <w:left w:w="28" w:type="dxa"/>
          <w:bottom w:w="28" w:type="dxa"/>
          <w:right w:w="28" w:type="dxa"/>
        </w:tblCellMar>
      </w:tblPr>
      <w:tblGrid>
        <w:gridCol w:w="1260"/>
        <w:gridCol w:w="1069"/>
        <w:gridCol w:w="1078"/>
        <w:gridCol w:w="211"/>
        <w:gridCol w:w="976"/>
        <w:gridCol w:w="109"/>
        <w:gridCol w:w="255"/>
        <w:gridCol w:w="256"/>
        <w:gridCol w:w="471"/>
        <w:gridCol w:w="211"/>
        <w:gridCol w:w="976"/>
        <w:gridCol w:w="109"/>
        <w:gridCol w:w="255"/>
        <w:gridCol w:w="256"/>
        <w:gridCol w:w="471"/>
        <w:gridCol w:w="211"/>
        <w:gridCol w:w="766"/>
        <w:gridCol w:w="109"/>
        <w:gridCol w:w="109"/>
        <w:gridCol w:w="109"/>
        <w:gridCol w:w="109"/>
        <w:gridCol w:w="254"/>
        <w:gridCol w:w="257"/>
        <w:gridCol w:w="318"/>
      </w:tblGrid>
      <w:tr>
        <w:trPr/>
        <w:tc>
          <w:tcPr>
            <w:tcW w:w="12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decrease in revenues was primarily due to a lower gross leased asset balance as a result of the tightening of our decisioning posture during 2025, and a decrease in demand for the durable leasable products offered by many of our retail partners. We believe the inflationary and other macroeconomic factors had a disproportionate negative effect on our customers' disposable income, negatively affecting demand for many products offered by our retail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margin is a key performance measure for our Progressive Leasing segment, which generates lease revenue from transactions that include associated depreciation of the merchandise on lease, making gross margin a meaningful indicator of profit. The increase in Progressive Leasing's gross margin percentage reflects a decline in customers' electing early purchase options, as macroeconomic conditions contributed to customers choosing to make payments over the full contractual lease term rather than exercising early purchase options, which generally result in lower margin realization.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lease merchandise write-offs decreased $0.5 million compared to the same period in 2025. The provision for lease merchandise write-offs as a percentage of total revenues increased to 7.9% during the six months ended June 30, 2026 from 7.4% in the same period in 2025. The increase was due to a continued pressure on customer payment performance in a challenging macroeconomic environment. Given the significant uncertainty regarding the impacts of geopolitical disruptions, inflation, tariffs, higher fuel costs, elevated interest rates, and unemployment rates on our business, and the potential effects of such developments on Progressive Leasing's POS partners, customers, and business going forward, a high level of estimation was involved in determining the allowance as of June 30, 2026. Actual lease merchandise write-offs could differ materially from the allowance for those write-offs.</w:t>
      </w:r>
    </w:p>
    <w:p>
      <w:pPr>
        <w:pStyle w:val="TextBody"/>
        <w:bidi w:val="0"/>
        <w:spacing w:lineRule="auto" w:line="288" w:before="100" w:after="283"/>
        <w:jc w:val="left"/>
        <w:rPr/>
      </w:pPr>
      <w:r>
        <w:rPr>
          <w:rFonts w:ascii="Times New Roman;serif" w:hAnsi="Times New Roman;serif"/>
          <w:b w:val="false"/>
          <w:color w:val="242424"/>
          <w:sz w:val="20"/>
        </w:rPr>
        <w:t xml:space="preserve">Selling, general and administrative expense increased primarily due to a </w:t>
      </w:r>
      <w:r>
        <w:rPr>
          <w:rFonts w:ascii="Times New Roman;serif" w:hAnsi="Times New Roman;serif"/>
          <w:b w:val="false"/>
          <w:color w:val="000000"/>
          <w:sz w:val="20"/>
        </w:rPr>
        <w:t>$2.7 million</w:t>
      </w:r>
      <w:r>
        <w:rPr>
          <w:color w:val="242424"/>
        </w:rPr>
        <w:t xml:space="preserve"> </w:t>
      </w:r>
      <w:r>
        <w:rPr>
          <w:rFonts w:ascii="Times New Roman;serif" w:hAnsi="Times New Roman;serif"/>
          <w:b w:val="false"/>
          <w:color w:val="242424"/>
          <w:sz w:val="20"/>
        </w:rPr>
        <w:t xml:space="preserve">increase in stock compensation expense, which was </w:t>
      </w:r>
      <w:r>
        <w:rPr>
          <w:rFonts w:ascii="Times New Roman;serif" w:hAnsi="Times New Roman;serif"/>
          <w:b w:val="false"/>
          <w:color w:val="000000"/>
          <w:sz w:val="20"/>
        </w:rPr>
        <w:t>primarily due to (i) a higher aggregated fair value associated with restricted stock units granted during 2026 and (ii) higher expense recognized on performance stock units due to increased expected award achievement levels compared to the prior-year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other expenses was attributable to Progressive Leasing incurring a one-time $4.8 million expense to settle a legal dispute during the three months ended June 30, 2026, with no comparable expense during the same period in the prior year. This increase was offset by lower intangible amortization expense resulting from a significant intangible asset becoming fully amortized in April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February and June 2026, Progressive Leasing sold portfolios of charged-off lease receivables to third-parties for a total of $11.2 million in cash and recognized total gains of $11.2 million, as the carrying amount of the charged-off receivables had been reduced to zero. There were no similar sales during the prior year.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for the six months ended June 30, 2026 was higher than the same period in 2025 due to an increase in debt used for the acquisition of Purchasing Power on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242424"/>
          <w:sz w:val="20"/>
          <w:u w:val="single"/>
        </w:rPr>
      </w:pPr>
      <w:r>
        <w:rPr>
          <w:rFonts w:ascii="Times New Roman;serif" w:hAnsi="Times New Roman;serif"/>
          <w:b/>
          <w:color w:val="242424"/>
          <w:sz w:val="20"/>
          <w:u w:val="single"/>
        </w:rPr>
        <w:t>Purchasing Power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Purchasing Power results of operations – Three months ended June 30, 2026 and 2025</w:t>
      </w:r>
    </w:p>
    <w:tbl>
      <w:tblPr>
        <w:tblW w:w="10205" w:type="dxa"/>
        <w:jc w:val="left"/>
        <w:tblInd w:w="0" w:type="dxa"/>
        <w:tblLayout w:type="fixed"/>
        <w:tblCellMar>
          <w:top w:w="28" w:type="dxa"/>
          <w:left w:w="28" w:type="dxa"/>
          <w:bottom w:w="28" w:type="dxa"/>
          <w:right w:w="28" w:type="dxa"/>
        </w:tblCellMar>
      </w:tblPr>
      <w:tblGrid>
        <w:gridCol w:w="1597"/>
        <w:gridCol w:w="1388"/>
        <w:gridCol w:w="1400"/>
        <w:gridCol w:w="211"/>
        <w:gridCol w:w="826"/>
        <w:gridCol w:w="109"/>
        <w:gridCol w:w="255"/>
        <w:gridCol w:w="256"/>
        <w:gridCol w:w="534"/>
        <w:gridCol w:w="211"/>
        <w:gridCol w:w="406"/>
        <w:gridCol w:w="109"/>
        <w:gridCol w:w="320"/>
        <w:gridCol w:w="320"/>
        <w:gridCol w:w="321"/>
        <w:gridCol w:w="211"/>
        <w:gridCol w:w="826"/>
        <w:gridCol w:w="109"/>
        <w:gridCol w:w="109"/>
        <w:gridCol w:w="109"/>
        <w:gridCol w:w="109"/>
        <w:gridCol w:w="136"/>
        <w:gridCol w:w="136"/>
        <w:gridCol w:w="197"/>
      </w:tblGrid>
      <w:tr>
        <w:trPr/>
        <w:tc>
          <w:tcPr>
            <w:tcW w:w="159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pStyle w:val="TextBody"/>
        <w:bidi w:val="0"/>
        <w:spacing w:lineRule="auto" w:line="288" w:before="180" w:after="283"/>
        <w:jc w:val="left"/>
        <w:rPr/>
      </w:pPr>
      <w:r>
        <w:rPr>
          <w:rFonts w:ascii="Times New Roman;serif" w:hAnsi="Times New Roman;serif"/>
          <w:b w:val="false"/>
          <w:color w:val="242424"/>
          <w:sz w:val="20"/>
        </w:rPr>
        <w:t>Selling, general and administrative expenses include</w:t>
      </w:r>
      <w:r>
        <w:rPr>
          <w:color w:val="000000"/>
        </w:rPr>
        <w:t xml:space="preserve"> </w:t>
      </w:r>
      <w:r>
        <w:rPr>
          <w:rFonts w:ascii="Times New Roman;serif" w:hAnsi="Times New Roman;serif"/>
          <w:b w:val="false"/>
          <w:color w:val="000000"/>
          <w:sz w:val="20"/>
        </w:rPr>
        <w:t>$1.9 million of transaction and transition costs incurred related to the acquisition of 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gain on change in fair value of receivables of $1.8 million reflects changes in the estimated fair value of Purchasing Power's receivables under the fair value option, including the impact of the passage of time, changes in credit performance, discount rates and other valuation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Purchasing Power results of operations – Six months ended June 30, 2026 and 2025</w:t>
      </w:r>
    </w:p>
    <w:tbl>
      <w:tblPr>
        <w:tblW w:w="10205" w:type="dxa"/>
        <w:jc w:val="left"/>
        <w:tblInd w:w="0" w:type="dxa"/>
        <w:tblLayout w:type="fixed"/>
        <w:tblCellMar>
          <w:top w:w="28" w:type="dxa"/>
          <w:left w:w="28" w:type="dxa"/>
          <w:bottom w:w="28" w:type="dxa"/>
          <w:right w:w="28" w:type="dxa"/>
        </w:tblCellMar>
      </w:tblPr>
      <w:tblGrid>
        <w:gridCol w:w="1597"/>
        <w:gridCol w:w="1388"/>
        <w:gridCol w:w="1400"/>
        <w:gridCol w:w="211"/>
        <w:gridCol w:w="826"/>
        <w:gridCol w:w="109"/>
        <w:gridCol w:w="255"/>
        <w:gridCol w:w="256"/>
        <w:gridCol w:w="534"/>
        <w:gridCol w:w="211"/>
        <w:gridCol w:w="406"/>
        <w:gridCol w:w="109"/>
        <w:gridCol w:w="320"/>
        <w:gridCol w:w="320"/>
        <w:gridCol w:w="321"/>
        <w:gridCol w:w="211"/>
        <w:gridCol w:w="826"/>
        <w:gridCol w:w="109"/>
        <w:gridCol w:w="109"/>
        <w:gridCol w:w="109"/>
        <w:gridCol w:w="109"/>
        <w:gridCol w:w="136"/>
        <w:gridCol w:w="136"/>
        <w:gridCol w:w="197"/>
      </w:tblGrid>
      <w:tr>
        <w:trPr/>
        <w:tc>
          <w:tcPr>
            <w:tcW w:w="159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4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lineRule="auto" w:line="288" w:before="60" w:after="283"/>
        <w:ind w:left="0" w:right="0" w:hanging="90"/>
        <w:jc w:val="left"/>
        <w:rPr/>
      </w:pPr>
      <w:r>
        <w:rPr>
          <w:rFonts w:ascii="Times New Roman;serif" w:hAnsi="Times New Roman;serif"/>
          <w:b w:val="false"/>
          <w:color w:val="000000"/>
          <w:sz w:val="16"/>
          <w:shd w:fill="FFFFFF" w:val="clear"/>
        </w:rPr>
        <w:t>nmf</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16"/>
          <w:shd w:fill="FFFFFF" w:val="clear"/>
        </w:rPr>
        <w:t>Calculation</w:t>
      </w:r>
      <w:r>
        <w:rPr>
          <w:color w:val="000000"/>
          <w:shd w:fill="FFFFFF" w:val="clear"/>
        </w:rPr>
        <w:t xml:space="preserve"> </w:t>
      </w:r>
      <w:r>
        <w:rPr>
          <w:rFonts w:ascii="Times New Roman;serif" w:hAnsi="Times New Roman;serif"/>
          <w:b w:val="false"/>
          <w:color w:val="000000"/>
          <w:sz w:val="16"/>
          <w:shd w:fill="FFFFFF" w:val="clear"/>
        </w:rPr>
        <w:t>is</w:t>
      </w:r>
      <w:r>
        <w:rPr>
          <w:color w:val="000000"/>
          <w:shd w:fill="FFFFFF" w:val="clear"/>
        </w:rPr>
        <w:t xml:space="preserve"> </w:t>
      </w:r>
      <w:r>
        <w:rPr>
          <w:rFonts w:ascii="Times New Roman;serif" w:hAnsi="Times New Roman;serif"/>
          <w:b w:val="false"/>
          <w:color w:val="000000"/>
          <w:sz w:val="16"/>
          <w:shd w:fill="FFFFFF" w:val="clear"/>
        </w:rPr>
        <w:t>not</w:t>
      </w:r>
      <w:r>
        <w:rPr>
          <w:color w:val="000000"/>
          <w:shd w:fill="FFFFFF" w:val="clear"/>
        </w:rPr>
        <w:t xml:space="preserve"> </w:t>
      </w:r>
      <w:r>
        <w:rPr>
          <w:rFonts w:ascii="Times New Roman;serif" w:hAnsi="Times New Roman;serif"/>
          <w:b w:val="false"/>
          <w:color w:val="000000"/>
          <w:sz w:val="16"/>
          <w:shd w:fill="FFFFFF" w:val="clear"/>
        </w:rPr>
        <w:t>me</w:t>
      </w:r>
      <w:r>
        <w:rPr>
          <w:rFonts w:ascii="Times New Roman;serif" w:hAnsi="Times New Roman;serif"/>
          <w:b w:val="false"/>
          <w:color w:val="000000"/>
          <w:sz w:val="16"/>
        </w:rPr>
        <w:t>aningful</w:t>
      </w:r>
    </w:p>
    <w:p>
      <w:pPr>
        <w:pStyle w:val="TextBody"/>
        <w:bidi w:val="0"/>
        <w:spacing w:lineRule="auto" w:line="288" w:before="180" w:after="283"/>
        <w:jc w:val="left"/>
        <w:rPr/>
      </w:pPr>
      <w:r>
        <w:rPr>
          <w:rFonts w:ascii="Times New Roman;serif" w:hAnsi="Times New Roman;serif"/>
          <w:b w:val="false"/>
          <w:color w:val="242424"/>
          <w:sz w:val="20"/>
        </w:rPr>
        <w:t>Selling, general and administrative expenses include</w:t>
      </w:r>
      <w:r>
        <w:rPr>
          <w:color w:val="000000"/>
        </w:rPr>
        <w:t xml:space="preserve"> </w:t>
      </w:r>
      <w:r>
        <w:rPr>
          <w:rFonts w:ascii="Times New Roman;serif" w:hAnsi="Times New Roman;serif"/>
          <w:b w:val="false"/>
          <w:color w:val="000000"/>
          <w:sz w:val="20"/>
        </w:rPr>
        <w:t>$3.7 million of transaction and transition costs incurred related to the acquisition of 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include restructuring expense related to employee severance of $3.4 million resulting from cost reduction initiatives that occurred shortly after the Company's acquisition of Purchasing Power.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gain on change in fair value of receivables of $7.5 million reflects changes in the estimated fair value of Purchasing Power's receivables under the fair value option, including the impact of the passage of time, changes in credit performance, discount rates and other valuation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242424"/>
          <w:sz w:val="20"/>
          <w:u w:val="single"/>
        </w:rPr>
      </w:pPr>
      <w:r>
        <w:rPr>
          <w:rFonts w:ascii="Times New Roman;serif" w:hAnsi="Times New Roman;serif"/>
          <w:b/>
          <w:color w:val="242424"/>
          <w:sz w:val="20"/>
          <w:u w:val="single"/>
        </w:rPr>
        <w:t>Four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Four results of operations – Three months ended June 30, 2026 and 2025</w:t>
      </w:r>
    </w:p>
    <w:tbl>
      <w:tblPr>
        <w:tblW w:w="10205" w:type="dxa"/>
        <w:jc w:val="left"/>
        <w:tblInd w:w="0" w:type="dxa"/>
        <w:tblLayout w:type="fixed"/>
        <w:tblCellMar>
          <w:top w:w="28" w:type="dxa"/>
          <w:left w:w="28" w:type="dxa"/>
          <w:bottom w:w="28" w:type="dxa"/>
          <w:right w:w="28" w:type="dxa"/>
        </w:tblCellMar>
      </w:tblPr>
      <w:tblGrid>
        <w:gridCol w:w="1379"/>
        <w:gridCol w:w="1181"/>
        <w:gridCol w:w="1190"/>
        <w:gridCol w:w="211"/>
        <w:gridCol w:w="826"/>
        <w:gridCol w:w="109"/>
        <w:gridCol w:w="292"/>
        <w:gridCol w:w="292"/>
        <w:gridCol w:w="293"/>
        <w:gridCol w:w="211"/>
        <w:gridCol w:w="826"/>
        <w:gridCol w:w="109"/>
        <w:gridCol w:w="292"/>
        <w:gridCol w:w="292"/>
        <w:gridCol w:w="293"/>
        <w:gridCol w:w="211"/>
        <w:gridCol w:w="826"/>
        <w:gridCol w:w="109"/>
        <w:gridCol w:w="109"/>
        <w:gridCol w:w="109"/>
        <w:gridCol w:w="109"/>
        <w:gridCol w:w="308"/>
        <w:gridCol w:w="308"/>
        <w:gridCol w:w="320"/>
      </w:tblGrid>
      <w:tr>
        <w:trPr/>
        <w:tc>
          <w:tcPr>
            <w:tcW w:w="13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Revenues at Four increased due to the continued significant growth in BNPL transactions, including growth in the number of Four+ subscription customers.</w:t>
      </w:r>
    </w:p>
    <w:p>
      <w:pPr>
        <w:pStyle w:val="TextBody"/>
        <w:bidi w:val="0"/>
        <w:spacing w:lineRule="auto" w:line="288" w:before="100" w:after="283"/>
        <w:jc w:val="left"/>
        <w:rPr/>
      </w:pPr>
      <w:r>
        <w:rPr>
          <w:rFonts w:ascii="Times New Roman;serif" w:hAnsi="Times New Roman;serif"/>
          <w:b w:val="false"/>
          <w:color w:val="242424"/>
          <w:sz w:val="20"/>
        </w:rPr>
        <w:t xml:space="preserve">Provision for credit losses increased due to the growth in new BNPL transactions. The increase in the provision for credit losses is consistent with the increase in GMV for the quarter ended </w:t>
      </w:r>
      <w:r>
        <w:rPr>
          <w:rFonts w:ascii="Times New Roman;serif" w:hAnsi="Times New Roman;serif"/>
          <w:b w:val="false"/>
          <w:color w:val="000000"/>
          <w:sz w:val="20"/>
        </w:rPr>
        <w:t>June 30, 2026</w:t>
      </w:r>
      <w:r>
        <w:rPr>
          <w:color w:val="242424"/>
        </w:rPr>
        <w:t xml:space="preserve"> </w:t>
      </w:r>
      <w:r>
        <w:rPr>
          <w:rFonts w:ascii="Times New Roman;serif" w:hAnsi="Times New Roman;serif"/>
          <w:b w:val="false"/>
          <w:color w:val="242424"/>
          <w:sz w:val="20"/>
        </w:rPr>
        <w:t>when compared to the same period in the prior year.</w:t>
      </w:r>
    </w:p>
    <w:p>
      <w:pPr>
        <w:pStyle w:val="TextBody"/>
        <w:bidi w:val="0"/>
        <w:spacing w:lineRule="auto" w:line="288" w:before="100" w:after="283"/>
        <w:jc w:val="left"/>
        <w:rPr>
          <w:rFonts w:ascii="Times New Roman;serif" w:hAnsi="Times New Roman;serif"/>
          <w:b w:val="false"/>
          <w:color w:val="242424"/>
          <w:sz w:val="20"/>
        </w:rPr>
      </w:pPr>
      <w:r>
        <w:rPr>
          <w:rFonts w:ascii="Times New Roman;serif" w:hAnsi="Times New Roman;serif"/>
          <w:b w:val="false"/>
          <w:color w:val="242424"/>
          <w:sz w:val="20"/>
        </w:rPr>
        <w:t>Selling, general and administrative costs increased due to the following:</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Bank charges and processing fees increased $4.4 million related to higher customer payment transaction volumes;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242424"/>
          <w:sz w:val="20"/>
        </w:rPr>
        <w:t xml:space="preserve">Advertising expense </w:t>
      </w:r>
      <w:r>
        <w:rPr>
          <w:rFonts w:ascii="Times New Roman;serif" w:hAnsi="Times New Roman;serif"/>
          <w:b w:val="false"/>
          <w:color w:val="000000"/>
          <w:sz w:val="20"/>
        </w:rPr>
        <w:t>increased $1.6 million resulting from additional marketing efforts to drive continued growth of Four.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Four results of operations – Six months ended June 30, 2026 and 2025</w:t>
      </w:r>
    </w:p>
    <w:tbl>
      <w:tblPr>
        <w:tblW w:w="10205" w:type="dxa"/>
        <w:jc w:val="left"/>
        <w:tblInd w:w="0" w:type="dxa"/>
        <w:tblLayout w:type="fixed"/>
        <w:tblCellMar>
          <w:top w:w="28" w:type="dxa"/>
          <w:left w:w="28" w:type="dxa"/>
          <w:bottom w:w="28" w:type="dxa"/>
          <w:right w:w="28" w:type="dxa"/>
        </w:tblCellMar>
      </w:tblPr>
      <w:tblGrid>
        <w:gridCol w:w="1379"/>
        <w:gridCol w:w="1181"/>
        <w:gridCol w:w="1190"/>
        <w:gridCol w:w="211"/>
        <w:gridCol w:w="826"/>
        <w:gridCol w:w="109"/>
        <w:gridCol w:w="292"/>
        <w:gridCol w:w="292"/>
        <w:gridCol w:w="293"/>
        <w:gridCol w:w="211"/>
        <w:gridCol w:w="826"/>
        <w:gridCol w:w="109"/>
        <w:gridCol w:w="292"/>
        <w:gridCol w:w="292"/>
        <w:gridCol w:w="293"/>
        <w:gridCol w:w="211"/>
        <w:gridCol w:w="826"/>
        <w:gridCol w:w="109"/>
        <w:gridCol w:w="109"/>
        <w:gridCol w:w="109"/>
        <w:gridCol w:w="109"/>
        <w:gridCol w:w="308"/>
        <w:gridCol w:w="308"/>
        <w:gridCol w:w="320"/>
      </w:tblGrid>
      <w:tr>
        <w:trPr/>
        <w:tc>
          <w:tcPr>
            <w:tcW w:w="13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revenue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Revenues at Four increased due to the continued significant growth in the number of BNPL transactions, growth in the number of Four+ subscription customers and, to a lesser extent, an increase in the average order value for Four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pPr>
      <w:r>
        <w:rPr>
          <w:rFonts w:ascii="Times New Roman;serif" w:hAnsi="Times New Roman;serif"/>
          <w:b w:val="false"/>
          <w:color w:val="242424"/>
          <w:sz w:val="20"/>
        </w:rPr>
        <w:t xml:space="preserve">Provision for credit losses increased due to the growth in new BNPL transactions. The increase in the provision for credit losses is consistent with the increase in GMV for the six months ended </w:t>
      </w:r>
      <w:r>
        <w:rPr>
          <w:rFonts w:ascii="Times New Roman;serif" w:hAnsi="Times New Roman;serif"/>
          <w:b w:val="false"/>
          <w:color w:val="000000"/>
          <w:sz w:val="20"/>
        </w:rPr>
        <w:t>June 30, 2026</w:t>
      </w:r>
      <w:r>
        <w:rPr>
          <w:color w:val="242424"/>
        </w:rPr>
        <w:t xml:space="preserve"> </w:t>
      </w:r>
      <w:r>
        <w:rPr>
          <w:rFonts w:ascii="Times New Roman;serif" w:hAnsi="Times New Roman;serif"/>
          <w:b w:val="false"/>
          <w:color w:val="242424"/>
          <w:sz w:val="20"/>
        </w:rPr>
        <w:t>when compared to the same period in the prior year.</w:t>
      </w:r>
    </w:p>
    <w:p>
      <w:pPr>
        <w:pStyle w:val="TextBody"/>
        <w:bidi w:val="0"/>
        <w:spacing w:lineRule="auto" w:line="288" w:before="100" w:after="283"/>
        <w:jc w:val="left"/>
        <w:rPr>
          <w:rFonts w:ascii="Times New Roman;serif" w:hAnsi="Times New Roman;serif"/>
          <w:b w:val="false"/>
          <w:color w:val="242424"/>
          <w:sz w:val="20"/>
        </w:rPr>
      </w:pPr>
      <w:r>
        <w:rPr>
          <w:rFonts w:ascii="Times New Roman;serif" w:hAnsi="Times New Roman;serif"/>
          <w:b w:val="false"/>
          <w:color w:val="242424"/>
          <w:sz w:val="20"/>
        </w:rPr>
        <w:t>Selling, general and administrative costs increased due to the following:</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Bank charges and processing fees increased $9.3 million related to higher customer payment transaction volumes;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242424"/>
          <w:sz w:val="20"/>
        </w:rPr>
        <w:t>Advertising expense in</w:t>
      </w:r>
      <w:r>
        <w:rPr>
          <w:rFonts w:ascii="Times New Roman;serif" w:hAnsi="Times New Roman;serif"/>
          <w:b w:val="false"/>
          <w:color w:val="000000"/>
          <w:sz w:val="20"/>
        </w:rPr>
        <w:t>creased $3.0 million resulting from additional marketing efforts to drive continued growth of Four.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Operations</w:t>
      </w:r>
    </w:p>
    <w:p>
      <w:pPr>
        <w:pStyle w:val="TextBody"/>
        <w:bidi w:val="0"/>
        <w:spacing w:lineRule="auto" w:line="288" w:before="100" w:after="283"/>
        <w:jc w:val="left"/>
        <w:rPr/>
      </w:pPr>
      <w:r>
        <w:rPr>
          <w:rFonts w:ascii="Times New Roman;serif" w:hAnsi="Times New Roman;serif"/>
          <w:b w:val="false"/>
          <w:color w:val="242424"/>
          <w:sz w:val="20"/>
        </w:rPr>
        <w:t xml:space="preserve">Other operations incurred </w:t>
      </w:r>
      <w:r>
        <w:rPr>
          <w:rFonts w:ascii="Times New Roman;serif" w:hAnsi="Times New Roman;serif"/>
          <w:b w:val="false"/>
          <w:color w:val="000000"/>
          <w:sz w:val="20"/>
        </w:rPr>
        <w:t>$1.4 million</w:t>
      </w:r>
      <w:r>
        <w:rPr>
          <w:color w:val="242424"/>
        </w:rPr>
        <w:t xml:space="preserve"> </w:t>
      </w:r>
      <w:r>
        <w:rPr>
          <w:rFonts w:ascii="Times New Roman;serif" w:hAnsi="Times New Roman;serif"/>
          <w:b w:val="false"/>
          <w:color w:val="242424"/>
          <w:sz w:val="20"/>
        </w:rPr>
        <w:t xml:space="preserve">of losses before income tax expense for the </w:t>
      </w:r>
      <w:r>
        <w:rPr>
          <w:rFonts w:ascii="Times New Roman;serif" w:hAnsi="Times New Roman;serif"/>
          <w:b w:val="false"/>
          <w:color w:val="000000"/>
          <w:sz w:val="20"/>
        </w:rPr>
        <w:t>three months ended June 30, 2026</w:t>
      </w:r>
      <w:r>
        <w:rPr>
          <w:rFonts w:ascii="Times New Roman;serif" w:hAnsi="Times New Roman;serif"/>
          <w:b w:val="false"/>
          <w:color w:val="242424"/>
          <w:sz w:val="20"/>
        </w:rPr>
        <w:t xml:space="preserve">, which is primarily related to losses associated with our other strategic operations. </w:t>
      </w:r>
    </w:p>
    <w:p>
      <w:pPr>
        <w:pStyle w:val="TextBody"/>
        <w:bidi w:val="0"/>
        <w:spacing w:lineRule="auto" w:line="288" w:before="100" w:after="283"/>
        <w:jc w:val="left"/>
        <w:rPr/>
      </w:pPr>
      <w:r>
        <w:rPr>
          <w:rFonts w:ascii="Times New Roman;serif" w:hAnsi="Times New Roman;serif"/>
          <w:b w:val="false"/>
          <w:color w:val="242424"/>
          <w:sz w:val="20"/>
        </w:rPr>
        <w:t xml:space="preserve">Other operations incurred </w:t>
      </w:r>
      <w:r>
        <w:rPr>
          <w:rFonts w:ascii="Times New Roman;serif" w:hAnsi="Times New Roman;serif"/>
          <w:b w:val="false"/>
          <w:color w:val="000000"/>
          <w:sz w:val="20"/>
        </w:rPr>
        <w:t>$9.7 million</w:t>
      </w:r>
      <w:r>
        <w:rPr>
          <w:color w:val="242424"/>
        </w:rPr>
        <w:t xml:space="preserve"> </w:t>
      </w:r>
      <w:r>
        <w:rPr>
          <w:rFonts w:ascii="Times New Roman;serif" w:hAnsi="Times New Roman;serif"/>
          <w:b w:val="false"/>
          <w:color w:val="242424"/>
          <w:sz w:val="20"/>
        </w:rPr>
        <w:t xml:space="preserve">of losses before income tax expense for the </w:t>
      </w:r>
      <w:r>
        <w:rPr>
          <w:rFonts w:ascii="Times New Roman;serif" w:hAnsi="Times New Roman;serif"/>
          <w:b w:val="false"/>
          <w:color w:val="000000"/>
          <w:sz w:val="20"/>
        </w:rPr>
        <w:t>six months ended June 30, 2026</w:t>
      </w:r>
      <w:r>
        <w:rPr>
          <w:rFonts w:ascii="Times New Roman;serif" w:hAnsi="Times New Roman;serif"/>
          <w:b w:val="false"/>
          <w:color w:val="242424"/>
          <w:sz w:val="20"/>
        </w:rPr>
        <w:t>, which was primarily related to costs incurred in connection with the acquisition of Purchasing Power on January 2,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decreased to $13.4 million for the three months ended June 30, 2026 from $13.6 million in the prior year comparable period. The effective income tax rate was 26.4% for the three months ended June 30, 2026 compared to 26.5% for the same period in 2025 and was generally consistent with the prior year period.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decreased to $24.8 million for the six months ended June 30, 2026 compared to $26.2 million in the prior year comparable period. The effective income tax rate was 25.2% for the six months ended June 30, 2026 compared to 26.7% for the same period in 2025. The decrease in the effective tax rate was primarily due to the discrete tax benefit related to stock-based compensation vestings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 of Financial Position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changes in the condensed consolidated balance sheet from December 31, 2025 to June 30, 2026 were driven by the acquisition of Purchasing Power on January 2, 2026, as discussed below: </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Cash and cash equivalents decreased $223.6 million from $308.8 million to $85.2 million during the six months ended June 30, 2026, due primarily to the cash consideration paid in connection with the acquisition of Purchasing Power. For additional information, refer to the "Liquidity and Capital Resources" section below.</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Accounts receivable, net of allowances and unearned interest income, increased $300.3 million compared to December 31, 2025 primarily due to the addition of Purchasing Power's receivable portfolio acquired on January 2, 2026.</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Lease merchandise, net of accumulated depreciation and allowances, decreased $77.9 million, reflecting the seasonal nature of the lease-to-own business. Lease merchandise balances typically peak during the fourth quarter due to higher holiday-season originations and subsequently decline in the first half of the year as leased merchandise depreciates and existing agreements mature.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Goodwill and other intangible assets, net increased $409.3 million, reflecting preliminary purchase accounting associated with the Purchasing Power acquisition, including the recognition of goodwill and identifiable intangible assets.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Accounts payable and accrued expenses increased $52.2 million, primarily due to the Purchasing Power acquisition. Purchasing Power had $60.0 million of accounts payable and accrued liabilities as of June 30, 2026.</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Deferred income tax liabilities increased $36.0 million resulting primarily from the recognition of deferred income tax liabilities with the acquisition of Purchasing Power.</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Income tax receivables decreased $22.7 million primarily due to federal tax refunds received during 2026, resulting from enactment of tax legislation permitting 100% federal bonus depreciation.</w:t>
      </w:r>
    </w:p>
    <w:p>
      <w:pPr>
        <w:pStyle w:val="TextBody"/>
        <w:bidi w:val="0"/>
        <w:spacing w:lineRule="auto" w:line="288" w:before="100" w:after="283"/>
        <w:ind w:left="0" w:right="0" w:hanging="360"/>
        <w:jc w:val="left"/>
        <w:rPr/>
      </w:pPr>
      <w:r>
        <w:rPr>
          <w:color w:val="242424"/>
        </w:rPr>
        <w:t>•</w:t>
      </w:r>
      <w:r>
        <w:rPr>
          <w:rFonts w:ascii="Times New Roman;serif" w:hAnsi="Times New Roman;serif"/>
          <w:b w:val="false"/>
          <w:color w:val="000000"/>
          <w:sz w:val="20"/>
        </w:rPr>
        <w:t>Debt, net increased $292.2 million primarily due to incremental borrowings incurred in connection with the acquisition of Purchasing Power and non-recourse funding debt of Purchasing Power following the acquisition, partially offset by debt repayments during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Overall, the changes in the Company's financial position during the period were primarily driven by the acquisition of Purchasing Power, which resulted in significant increases in assets, liabilities, and debt, partially offset by the use of cash to fund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primary capital requirements will consist of:</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Reinvesting in our business, including acquiring merchandise to lease to our Progressive Leasing customers, purchasing products and services for resale through installment sales agreements with our Purchasing Power customers, and originating new BNPL transactions with our Four customers. Because we believe these businesses will continue to grow over the long-term, we expect that the need for additional merchandise will remain a major capital requirement;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Making merger and acquisition investment(s) to further broaden our product offerings;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Returning excess cash to shareholders through periodically repurchasing stock and/or paying 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capital requirements include (i) expenditures related to software development; (ii) expenditures related to our corporate operating activities; (iii) personnel expenditures; (iv) income tax payments; and (v) servicing our outstanding debt obligations.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capital requirements historically have been financed through: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cash flows from operations;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private debt offerings;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bank debt;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stock offerings.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$85.2 million of cash, $350.0 million of availability under the Revolving Facility, and $893.7 million of gross indebtedness, which includes $293.7 million of funding debt associated with the Purchasing Power business which is non-recourse with respect to the Company and its assets.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decreased modestly to $277.9 million for the six months ended June 30, 2026, compared to $279.8 million in the prior year, a decline of approximately $1.8 million. Higher cash interest payments, increased net investments in lease merchandise, and lower earnings were largely offset by a favorable change in cash paid for income taxes of $60.7 million, reflecting income tax refunds received during the current period compared to net tax payments in the prior year period. Other changes in cash provided by operating activities are discussed above in our discussion of results for the six months ended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$414.2 million and $34.8 million during the six months ended June 30, 2026 and 2025, respectively. The $379.3 million increase in investing cash outflows was primarily the result of the $391.8 million of cash paid for the acquisition of Purchasing Power, net of cash acquired.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was $80.1 million during the six months ended June 30, 2026 compared to $118.7 million during the same period in 2025. Cash used in financing activities during the six months ended June 30, 2026 was primarily $546.2 million of proceeds from borrowings, offset by $591.1 million of repayments on debt and $11.2 million paid for cash dividends. Cash used in financing activities during the prior year was primarily the repayment of $50.0 million that was drawn on our revolving credit facility during the fourth quarter of 2024, the Company's repurchase of $51.8 million of its common stock and $10.4 million paid for cash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purchase our stock in the market from time to time as authorized by our Board of Directors. Effective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repurchased 280,000 shares for $10.2 million during the six months ended June 30, 2026. That amount does not include any excise tax that may be assessed on those repurchases. As of June 30, 2026, we had the authority to purchase additional shares up to our remaining authorization limit of $299.4 million.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May 6, 2026, our Board of Directors declared a quarterly cash dividend in the amount of $0.14 per share of outstanding common stock, which was paid on June 2, 2026. Aggregate dividend payments during the six months ended June 30, 2026 were $11.2 million. While we expect to continue paying quarterly cash dividends in future periods,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deems relevant.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 Financing</w:t>
      </w:r>
    </w:p>
    <w:p>
      <w:pPr>
        <w:pStyle w:val="TextBody"/>
        <w:bidi w:val="0"/>
        <w:spacing w:lineRule="auto" w:line="288" w:before="100" w:after="283"/>
        <w:jc w:val="left"/>
        <w:rPr/>
      </w:pPr>
      <w:r>
        <w:rPr>
          <w:rFonts w:ascii="Times New Roman;serif" w:hAnsi="Times New Roman;serif"/>
          <w:b w:val="false"/>
          <w:color w:val="000000"/>
          <w:sz w:val="20"/>
        </w:rPr>
        <w:t>The Company's debt structure includes a combination of corporate-level borrowings and asset-backed financing arrangements of non-recourse funding debt. Our corporate-level borrowings increased to fund part of the purchase price we paid for the acquisition of Purchasing Power.</w:t>
      </w:r>
      <w:r>
        <w:rPr>
          <w:color w:val="000000"/>
        </w:rPr>
        <w:t xml:space="preserve"> </w:t>
      </w:r>
      <w:r>
        <w:rPr>
          <w:rFonts w:ascii="Times New Roman;serif" w:hAnsi="Times New Roman;serif"/>
          <w:b w:val="false"/>
          <w:color w:val="000000"/>
          <w:sz w:val="20"/>
        </w:rPr>
        <w:t>Purchasing Power's asset-backed financing arrangements remained in place following our acquisition of Purchasing Power on January 2,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Corporate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a $350.0 million senior revolving credit facility (the "Revolving Facility") that matures on November 15, 2029. Borrowings under the Revolving Facility bear interest, at the Company's election, at either a base rate or term SOFR plus an applicable margin based on the Company's leverage ratio, and the facility includes a commitment fee on unused capacity. As of June 30, 2026, there were no outstanding borrowings under the Revolving Facility and $350.0 million remained available for borrowing. During the six months ended June 30, 2026, borrowings under the Revolving Facility, which were repaid prior to June 30, 2026, were primarily utilized to support short-term liquidity needs in connection with the Purchasing Power acquisition and related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Purchasing Power, the Company entered into a Fourth Amendment to its existing credit agreement, which among other changes provided for a new $125.0 million term loan ("Term Loan A") maturing November 15, 2029. Term Loan A bears interest at a variable rate based on SOFR plus an applicable margin determined by the Company's leverage ratio and amortizes through quarterly principal payments, with the remaining balance due at maturity. During the six months ended June 30, 2026, the Company voluntarily repaid the full $125.0 million of the term loan, resulting in no outstanding balance as of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has $600.0 million aggregate principal amount of senior unsecured notes due November 2029, which bear interest at a fixed rate of 6.0%. The remaining principal amount of those notes remained unchanged during the period.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Financing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securitization and warehouse funding arrangements utilized by Purchasing Power remained in place following the Company's acquisition of Purchasing Power. Those arrangements are structured as non-recourse, asset-backed financings secured by underlying receivables and related cash flows. These arrangements are accounted for as secured borrowings, as the related receivables remain on the Company's balance sheet.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Following its acquisition of Purchasing Power, the Company repaid and terminated certain of those securitization and warehouse facilities, while continuing to utilize asset-backed financing as a key funding source. On February 26, 2026, a wholly-owned securitization entity issued $220.0 million aggregate principal amount of asset-backed notes in a private placement transaction. These notes are secured by receivables held by the securitization entity, with collections applied through a customary priority of payments structure.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asset-backed debt was $291.6 million, net of unamortized debt issuance costs. These arrangements include various financial and performance covenants. If certain thresholds are not met, this may result in rapid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outstanding debt, and if other covenants or requirements are breached, the lender may terminate the Company's ability to draw on the facilities, accelerate outstanding amounts, and exercise remedies against pledged collateral, including liquidation. As of June 30, 2026, no such events had occurred and we do not expect any such event to occur in future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Debt Activity and Liquidity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debt, net increased to $887.1 million as of June 30, 2026 from $594.9 million as of December 31, 2025, primarily driven by (i) the asset-backed non-recourse funding debt that remained in place following the acquisition, and (ii) the issuance of new securitization debt, partially offset by repayments of asset-backed borrowings during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asset-backed financing arrangements are non-recourse to the general credit of the Company and are secured solely by the underlying receivables and related assets held within the securitization entities. Accordingly, these assets are restricted and not available to satisfy the claims of the Company's general creditors.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debt agreements contain customary financial and operating covenants, including leverage and interest coverage requirements. As of June 30, 2026, the Company was in compliance with all such covenants and believes it will continue to be in compliance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received net income tax refunds of $15.6 million. Within the next nine months, we anticipate making estimated net tax payments of $3.7 million for United States federal income taxes and state income taxes. That expectation includes anticipated favorable impacts on the Company's cash taxes resulting from the One Big Beautiful Bill Act, which was signed into law on July 4, 2025.</w:t>
      </w:r>
    </w:p>
    <w:p>
      <w:pPr>
        <w:pStyle w:val="TextBody"/>
        <w:bidi w:val="0"/>
        <w:spacing w:lineRule="auto" w:line="288" w:before="100" w:after="283"/>
        <w:jc w:val="left"/>
        <w:rPr/>
      </w:pPr>
      <w:r>
        <w:rPr>
          <w:rFonts w:ascii="Times New Roman;serif" w:hAnsi="Times New Roman;serif"/>
          <w:b w:val="false"/>
          <w:color w:val="000000"/>
          <w:sz w:val="20"/>
        </w:rPr>
        <w:t>Deferred income tax liabilities as of June 30, 2026 were</w:t>
      </w:r>
      <w:r>
        <w:rPr>
          <w:color w:val="EE2724"/>
        </w:rPr>
        <w:t xml:space="preserve"> </w:t>
      </w:r>
      <w:r>
        <w:rPr>
          <w:rFonts w:ascii="Times New Roman;serif" w:hAnsi="Times New Roman;serif"/>
          <w:b w:val="false"/>
          <w:color w:val="000000"/>
          <w:sz w:val="20"/>
        </w:rPr>
        <w:t>$157.2 million.</w:t>
      </w:r>
      <w:r>
        <w:rPr>
          <w:color w:val="EE2724"/>
        </w:rPr>
        <w:t xml:space="preserve"> </w:t>
      </w:r>
      <w:r>
        <w:rPr>
          <w:rFonts w:ascii="Times New Roman;serif" w:hAnsi="Times New Roman;serif"/>
          <w:b w:val="false"/>
          <w:color w:val="000000"/>
          <w:sz w:val="20"/>
        </w:rPr>
        <w:t>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lease management and information technology space for corporate functions under operating leases expiring at various times through 2032. Our corporate and segment management office leases contain renewal options for additional periods ranging from two to 5.6 years.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Future interest payments on the Company's variable-rate debt are primarily based on the Secured Overnight Financing Rate ("SOFR") plus an applicable margin determined by the Company's leverage ratio. Following the Fourth Amendment to the Company's credit agreement, borrowings under the Revolving Facility and Term Loan A bear interest, at the Company's option, at either (i) SOFR plus a margin generally ranging from 1.5% to 2.8%, or (ii) a base rate plus a margin that is lower than the applicable SOFR-based margin. In addition, the Company is subject to commitment fees on unused revolving commitments, which range from 0.25% to 0.50% based on the Company's total net leverage ratio. The Revolving Facility and Term Loan A mature in November 2029.</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fully paid off the Term Loan A and had no outstanding borrowings under the Revolving Facility. Accordingly, future interest obligations under the Revolving Facility will depend on future borrowing activity and prevailing interest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$600.0 million aggregate principal amount of Senior Notes bear a fixed annual interest rate of 6.0%, payable semi-annually, and mature in November 2029.</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has asset-backed financing arrangements associated with its securitization activities, which are secured by underlying receivables and related cash flows. These arrangements include contractual obligations for interest and principal payments based on the performance and collections of the underlying receivables originated by Purchasing Power and are generally non-recourse to the Company's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 long-term contractual obligations to purchase merchandise or other commitments requiring minimum purchases beyond its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in our Annual Report on Form 10-K for the year ended December 31, 2025. There have been no material changes to those policies during the six months ended June 30, 2026, except as described below.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Purchasing Power on January 2, 2026, we adopted new accounting policies related to Purchasing Power's operations, including revenue recognition, receivables, and debt-related policies. A detailed description of these policies is included in Note 1 in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Recent Accounting Pronouncements</w:t>
      </w:r>
      <w:r>
        <w:rPr>
          <w:color w:val="00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Refer to Note 1 to the condensed consolidated financial statements for a discussion of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exposure to market risk is primarily related to interest rate risk on its variable-rate debt, which includes borrowings under its asset-backed financing arrangements. These borrowings generally bear interest at rates indexed to SOFR or other variable benchmarks, plus an applicable margin, and therefore expose the Company to variability in interest expense as market interest rates change.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outstanding borrowings under its Revolving Facility; however, the facility remains available for future borrowings and, if utilized, would also bear interest at variable rates tied to SOFR or a base 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the Company's variable-rate debt outstanding as of June 30, 2026, a hypothetical 1.0% increase or decrease in interest rates would result in a corresponding increase or decrease in annual interest expense of approximately $0.7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use derivative financial instruments or other market risk sensitive instruments to hedge exposure to interest rate, commodity price, or foreign currency risks, and does not hold such instruments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three months ended June 30, 2026, the Company continued its multi-phase implementation of a new enterprise resource planning ("ERP") system that began during the second quarter of 2025 and is expected to continue throughout 2026 and into 2027. The new ERP replaces legacy systems and is designed to, among other things, streamline and enhance the Company's financial and accounting processes through a comprehensive, integrated solution. In connection with the implementation, certain existing internal controls were modified or removed, and new internal controls and procedures were designed and implemented to align with the new ERP system. This implementation resulted in changes to certain internal controls over financial reporting. The Company performed additional testing and monitoring procedures during and after the go-live to ensure appropriate operations of controls. Additional phases of the implementation are planned for 2026, and we will continue to evaluate quarterly whether these changes materially affect our internal control over financial reporting.</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On January 2, 2026, we acquired Purchasing Power. We are currently in the process of integrating Purchasing Power into our assessment of our internal control over financial reporting. Management's assessment and conclusions on the effectiveness of our disclosure controls and procedures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excludes an assessment of the internal control over financial reporting of Purchasing Power. Additionally, we are in the process of integrating Purchasing Power into our ERP system, which integration is expected to be completed in the first quarter of 2027.</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described above, there have been no changes in the Company's internal control over financial reporting during the three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8 in the accompanying condensed consolidated financial statements under the heading "Legal and Regulatory Proceedings," which discussion is incorporated by reference in response 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99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updates to its risk factors disclosure that were previously reported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share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529"/>
        <w:gridCol w:w="466"/>
        <w:gridCol w:w="474"/>
        <w:gridCol w:w="642"/>
        <w:gridCol w:w="462"/>
        <w:gridCol w:w="464"/>
        <w:gridCol w:w="300"/>
        <w:gridCol w:w="877"/>
        <w:gridCol w:w="155"/>
        <w:gridCol w:w="993"/>
        <w:gridCol w:w="841"/>
        <w:gridCol w:w="844"/>
        <w:gridCol w:w="428"/>
        <w:gridCol w:w="2410"/>
        <w:gridCol w:w="320"/>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1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Dollar Value of Shares that May Yet Be Purchased Under the Plans or Programs </w:t>
            </w:r>
            <w:r>
              <w:rPr>
                <w:rFonts w:ascii="Times New Roman;serif" w:hAnsi="Times New Roman;serif"/>
                <w:b/>
                <w:color w:val="000000"/>
                <w:sz w:val="10"/>
              </w:rPr>
              <w:t>1</w:t>
            </w:r>
          </w:p>
        </w:tc>
      </w:tr>
      <w:tr>
        <w:trPr/>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309,573,987 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306,633,498 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8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299,389,280 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8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Share repurchases are conducted under authorizations made from time to time by the Company’s Board of Directors. The authorization, effective February 21, 2024, provided the Company with the ability to repurchase shares up to a maximum amount of $500 million. Subject to the terms of the Board's authorization and applicable law, repurchases may be made at such times and in such amounts as the Company deems appropriate. Repurchases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7"/>
        <w:gridCol w:w="269"/>
        <w:gridCol w:w="270"/>
        <w:gridCol w:w="109"/>
        <w:gridCol w:w="109"/>
        <w:gridCol w:w="109"/>
        <w:gridCol w:w="2680"/>
        <w:gridCol w:w="2628"/>
        <w:gridCol w:w="3724"/>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2"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2"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1.htm">
              <w:r>
                <w:rPr>
                  <w:rStyle w:val="InternetLink"/>
                  <w:rFonts w:ascii="Times New Roman;serif" w:hAnsi="Times New Roman;serif"/>
                  <w:b w:val="false"/>
                  <w:color w:val="0000FF"/>
                  <w:sz w:val="20"/>
                  <w:u w:val="single"/>
                </w:rPr>
                <w:t>Certification of Chief Executive Officer pursuant to Rule 13a-14(a) and Rule 15d-14(a) of the Securities Exchange Act, as amended.</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2.htm">
              <w:r>
                <w:rPr>
                  <w:rStyle w:val="InternetLink"/>
                  <w:rFonts w:ascii="Times New Roman;serif" w:hAnsi="Times New Roman;serif"/>
                  <w:b w:val="false"/>
                  <w:color w:val="0000FF"/>
                  <w:sz w:val="20"/>
                  <w:u w:val="single"/>
                </w:rPr>
                <w:t>Certification of Chief Financial Officer pursuant to Rule 13a-14(a) and Rule 15d-14(a) of the Securities Exchange Act, as amended.</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21.htm">
              <w:r>
                <w:rPr>
                  <w:rStyle w:val="InternetLink"/>
                  <w:rFonts w:ascii="Times New Roman;serif" w:hAnsi="Times New Roman;serif"/>
                  <w:b w:val="false"/>
                  <w:color w:val="0000FF"/>
                  <w:sz w:val="20"/>
                  <w:u w:val="single"/>
                </w:rPr>
                <w:t>Certification of Chief Executive Officer pursuant to 18 U.S.C. 1350, as adopted pursuant to Section 906 of the Sarbanes-Oxley Act of 2002.</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22.htm">
              <w:r>
                <w:rPr>
                  <w:rStyle w:val="InternetLink"/>
                  <w:rFonts w:ascii="Times New Roman;serif" w:hAnsi="Times New Roman;serif"/>
                  <w:b w:val="false"/>
                  <w:color w:val="0000FF"/>
                  <w:sz w:val="20"/>
                  <w:u w:val="single"/>
                </w:rPr>
                <w:t>Certification of Chief Financial Officer pursuant to 18 U.S.C. 1350, as adopted pursuant to Section 906 of the Sarbanes-Oxley Act of 2002.</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 the quarter ended June 30, 2026, formatted in Inline XBRL (included in Exhibit 101)</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662"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86"/>
        <w:gridCol w:w="286"/>
        <w:gridCol w:w="286"/>
        <w:gridCol w:w="1171"/>
        <w:gridCol w:w="1171"/>
        <w:gridCol w:w="16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SEWELL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Sewell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13a-14(a)/15d-14(a)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841"/>
        <w:gridCol w:w="701"/>
        <w:gridCol w:w="701"/>
        <w:gridCol w:w="1124"/>
        <w:gridCol w:w="733"/>
        <w:gridCol w:w="733"/>
        <w:gridCol w:w="733"/>
        <w:gridCol w:w="733"/>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Steven A. Michaels, certify that: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PROG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384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607"/>
        <w:gridCol w:w="607"/>
        <w:gridCol w:w="8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A. Michaels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A. Michaels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13a-14(a)/15d-14(a)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840"/>
        <w:gridCol w:w="700"/>
        <w:gridCol w:w="700"/>
        <w:gridCol w:w="1124"/>
        <w:gridCol w:w="733"/>
        <w:gridCol w:w="733"/>
        <w:gridCol w:w="733"/>
        <w:gridCol w:w="733"/>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Brian Garner, certify that: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PROG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5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5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378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A. Michaels, Chief Executive Officer of PROG Holdings, Inc.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of the Securities Exchange Act of 1934 (15 U.S.C. 78m);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11"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07"/>
        <w:gridCol w:w="607"/>
        <w:gridCol w:w="85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A. Michaels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A. Michaels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Brian Garner, Chief Financial Officer of PROG Holdings, Inc.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of the Securities Exchange Act of 1934 (15 U.S.C. 78m);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0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28470</Words>
  <Characters>164968</Characters>
  <CharactersWithSpaces>191248</CharactersWithSpaces>
  <Paragraphs>4257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