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6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60" w:after="283"/>
        <w:jc w:val="center"/>
        <w:rPr>
          <w:color w:val="000000"/>
        </w:rPr>
      </w:pPr>
      <w:r>
        <w:rPr>
          <w:color w:val="000000"/>
        </w:rPr>
        <w:t> </w:t>
      </w:r>
      <w:r>
        <w:rPr>
          <w:rFonts w:ascii="Times New Roman;sans-serif" w:hAnsi="Times New Roman;sans-serif"/>
          <w:b w:val="false"/>
          <w:color w:val="000000"/>
          <w:sz w:val="18"/>
        </w:rPr>
        <w:t>________________________________</w:t>
      </w:r>
    </w:p>
    <w:p>
      <w:pPr>
        <w:pStyle w:val="TextBody"/>
        <w:bidi w:val="0"/>
        <w:spacing w:lineRule="auto" w:line="288" w:before="60" w:after="283"/>
        <w:jc w:val="center"/>
        <w:rPr/>
      </w:pPr>
      <w:r>
        <w:rPr>
          <w:color w:val="000000"/>
        </w:rPr>
        <w:t> </w:t>
      </w:r>
      <w:r>
        <w:rPr>
          <w:rFonts w:ascii="Times New Roman;sans-serif" w:hAnsi="Times New Roman;sans-serif"/>
          <w:b/>
          <w:color w:val="000000"/>
          <w:sz w:val="36"/>
        </w:rPr>
        <w:t xml:space="preserve">FORM 10-Q </w:t>
      </w:r>
    </w:p>
    <w:p>
      <w:pPr>
        <w:pStyle w:val="TextBody"/>
        <w:bidi w:val="0"/>
        <w:spacing w:lineRule="auto" w:line="288" w:before="6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________________________________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2024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1-39628 </w:t>
      </w:r>
    </w:p>
    <w:p>
      <w:pPr>
        <w:pStyle w:val="TextBody"/>
        <w:bidi w:val="0"/>
        <w:spacing w:lineRule="auto" w:line="288" w:before="60" w:after="283"/>
        <w:jc w:val="center"/>
        <w:rPr>
          <w:color w:val="000000"/>
        </w:rPr>
      </w:pPr>
      <w:r>
        <w:rPr>
          <w:color w:val="000000"/>
        </w:rPr>
        <w:t> </w:t>
      </w:r>
      <w:r>
        <w:rPr>
          <w:rFonts w:ascii="Times New Roman;sans-serif" w:hAnsi="Times New Roman;sans-serif"/>
          <w:b/>
          <w:color w:val="000000"/>
          <w:sz w:val="18"/>
        </w:rPr>
        <w:t>________________________________</w:t>
      </w:r>
    </w:p>
    <w:p>
      <w:pPr>
        <w:pStyle w:val="TextBody"/>
        <w:bidi w:val="0"/>
        <w:spacing w:lineRule="auto" w:line="288" w:before="0" w:after="0"/>
        <w:jc w:val="center"/>
        <w:rPr/>
      </w:pPr>
      <w:r>
        <w:rPr>
          <w:color w:val="000000"/>
        </w:rPr>
        <w:t> </w:t>
      </w:r>
      <w:r>
        <w:rPr>
          <w:rFonts w:ascii="Times New Roman;sans-serif" w:hAnsi="Times New Roman;sans-serif"/>
          <w:b/>
          <w:color w:val="000000"/>
          <w:sz w:val="48"/>
        </w:rPr>
        <w:t>PROG HOLDINGS, INC.</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8"/>
        </w:rPr>
        <w:t>_________________________________</w:t>
      </w:r>
    </w:p>
    <w:tbl>
      <w:tblPr>
        <w:tblW w:w="4854" w:type="dxa"/>
        <w:jc w:val="center"/>
        <w:tblInd w:w="0" w:type="dxa"/>
        <w:tblLayout w:type="fixed"/>
        <w:tblCellMar>
          <w:top w:w="28" w:type="dxa"/>
          <w:left w:w="28" w:type="dxa"/>
          <w:bottom w:w="28" w:type="dxa"/>
          <w:right w:w="28" w:type="dxa"/>
        </w:tblCellMar>
      </w:tblPr>
      <w:tblGrid>
        <w:gridCol w:w="314"/>
        <w:gridCol w:w="276"/>
        <w:gridCol w:w="276"/>
        <w:gridCol w:w="276"/>
        <w:gridCol w:w="276"/>
        <w:gridCol w:w="276"/>
        <w:gridCol w:w="254"/>
        <w:gridCol w:w="254"/>
        <w:gridCol w:w="256"/>
        <w:gridCol w:w="195"/>
        <w:gridCol w:w="195"/>
        <w:gridCol w:w="195"/>
        <w:gridCol w:w="109"/>
        <w:gridCol w:w="109"/>
        <w:gridCol w:w="109"/>
        <w:gridCol w:w="433"/>
        <w:gridCol w:w="433"/>
        <w:gridCol w:w="618"/>
      </w:tblGrid>
      <w:tr>
        <w:trPr/>
        <w:tc>
          <w:tcPr>
            <w:tcW w:w="31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3043" w:type="dxa"/>
            <w:gridSpan w:val="12"/>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Georgia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85-2484385</w:t>
            </w:r>
          </w:p>
        </w:tc>
      </w:tr>
      <w:tr>
        <w:trPr/>
        <w:tc>
          <w:tcPr>
            <w:tcW w:w="3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 R. S. Employer</w:t>
              <w:br/>
              <w:t>Identification No.)</w:t>
            </w:r>
          </w:p>
        </w:tc>
      </w:tr>
      <w:tr>
        <w:trPr/>
        <w:tc>
          <w:tcPr>
            <w:tcW w:w="304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4"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256 W. Data Drive</w:t>
            </w:r>
          </w:p>
        </w:tc>
        <w:tc>
          <w:tcPr>
            <w:tcW w:w="7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Draper,</w:t>
            </w:r>
          </w:p>
        </w:tc>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Utah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84020-2315</w:t>
            </w:r>
          </w:p>
        </w:tc>
      </w:tr>
      <w:tr>
        <w:trPr/>
        <w:tc>
          <w:tcPr>
            <w:tcW w:w="30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(385) 351-1369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7513" w:type="dxa"/>
        <w:jc w:val="left"/>
        <w:tblInd w:w="0" w:type="dxa"/>
        <w:tblLayout w:type="fixed"/>
        <w:tblCellMar>
          <w:top w:w="28" w:type="dxa"/>
          <w:left w:w="28" w:type="dxa"/>
          <w:bottom w:w="28" w:type="dxa"/>
          <w:right w:w="28" w:type="dxa"/>
        </w:tblCellMar>
      </w:tblPr>
      <w:tblGrid>
        <w:gridCol w:w="1036"/>
        <w:gridCol w:w="908"/>
        <w:gridCol w:w="921"/>
        <w:gridCol w:w="444"/>
        <w:gridCol w:w="444"/>
        <w:gridCol w:w="446"/>
        <w:gridCol w:w="970"/>
        <w:gridCol w:w="970"/>
        <w:gridCol w:w="1374"/>
      </w:tblGrid>
      <w:tr>
        <w:trPr/>
        <w:tc>
          <w:tcPr>
            <w:tcW w:w="1036"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Trading Symbol</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$0.50 Par Value</w:t>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PRG</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(Former name, former address and former fiscal year, if changed since last report)</w:t>
      </w:r>
    </w:p>
    <w:p>
      <w:pPr>
        <w:pStyle w:val="TextBody"/>
        <w:bidi w:val="0"/>
        <w:spacing w:lineRule="auto" w:line="288" w:before="0" w:after="0"/>
        <w:jc w:val="center"/>
        <w:rPr>
          <w:color w:val="000000"/>
        </w:rPr>
      </w:pPr>
      <w:r>
        <w:rPr>
          <w:color w:val="000000"/>
        </w:rPr>
        <w:t> </w:t>
      </w:r>
      <w:r>
        <w:rPr>
          <w:rFonts w:ascii="Times New Roman;sans-serif" w:hAnsi="Times New Roman;sans-serif"/>
          <w:b/>
          <w:color w:val="000000"/>
          <w:sz w:val="18"/>
        </w:rPr>
        <w:t>___________________________________</w:t>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Indicate by check mark whether registrant (l) has filed all reports required to be filed by Section 13 or 15 (d) of the Securities Exchange Act of l934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Indicate by check mark whether the registrant is a large accelerated filer, an accelerated filer, a non-accelerated filer, or a smaller reporting company. See the definition of "large accelerated filer," "accelerated filer" and "smaller reporting company" in Rule 12b-2 of the Exchange Act. (Check one):</w:t>
      </w:r>
    </w:p>
    <w:tbl>
      <w:tblPr>
        <w:tblW w:w="10205" w:type="dxa"/>
        <w:jc w:val="left"/>
        <w:tblInd w:w="0" w:type="dxa"/>
        <w:tblLayout w:type="fixed"/>
        <w:tblCellMar>
          <w:top w:w="28" w:type="dxa"/>
          <w:left w:w="28" w:type="dxa"/>
          <w:bottom w:w="28" w:type="dxa"/>
          <w:right w:w="28" w:type="dxa"/>
        </w:tblCellMar>
      </w:tblPr>
      <w:tblGrid>
        <w:gridCol w:w="1013"/>
        <w:gridCol w:w="720"/>
        <w:gridCol w:w="673"/>
        <w:gridCol w:w="140"/>
        <w:gridCol w:w="140"/>
        <w:gridCol w:w="140"/>
        <w:gridCol w:w="140"/>
        <w:gridCol w:w="140"/>
        <w:gridCol w:w="140"/>
        <w:gridCol w:w="899"/>
        <w:gridCol w:w="899"/>
        <w:gridCol w:w="902"/>
        <w:gridCol w:w="140"/>
        <w:gridCol w:w="140"/>
        <w:gridCol w:w="140"/>
        <w:gridCol w:w="1043"/>
        <w:gridCol w:w="1043"/>
        <w:gridCol w:w="1048"/>
        <w:gridCol w:w="109"/>
        <w:gridCol w:w="109"/>
        <w:gridCol w:w="109"/>
        <w:gridCol w:w="109"/>
        <w:gridCol w:w="109"/>
        <w:gridCol w:w="160"/>
      </w:tblGrid>
      <w:tr>
        <w:trPr/>
        <w:tc>
          <w:tcPr>
            <w:tcW w:w="101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 not check if a smaller reporting company)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0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495"/>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xml:space="preserve">☐ </w:t>
      </w:r>
      <w:r>
        <w:rPr>
          <w:rFonts w:ascii="Times New Roman;sans-serif" w:hAnsi="Times New Roman;sans-serif"/>
          <w:b w:val="false"/>
          <w:color w:val="000000"/>
          <w:sz w:val="20"/>
        </w:rPr>
        <w:t>No </w:t>
      </w:r>
      <w:r>
        <w:rPr>
          <w:color w:val="000000"/>
        </w:rPr>
        <w:t>☒</w:t>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Indicate the number of shares outstanding of each of the issuer’s classes of common stock, as of the latest practicable date.</w:t>
      </w:r>
    </w:p>
    <w:tbl>
      <w:tblPr>
        <w:tblW w:w="5052" w:type="dxa"/>
        <w:jc w:val="left"/>
        <w:tblInd w:w="0" w:type="dxa"/>
        <w:tblLayout w:type="fixed"/>
        <w:tblCellMar>
          <w:top w:w="28" w:type="dxa"/>
          <w:left w:w="28" w:type="dxa"/>
          <w:bottom w:w="28" w:type="dxa"/>
          <w:right w:w="28" w:type="dxa"/>
        </w:tblCellMar>
      </w:tblPr>
      <w:tblGrid>
        <w:gridCol w:w="996"/>
        <w:gridCol w:w="879"/>
        <w:gridCol w:w="885"/>
        <w:gridCol w:w="109"/>
        <w:gridCol w:w="109"/>
        <w:gridCol w:w="109"/>
        <w:gridCol w:w="574"/>
        <w:gridCol w:w="574"/>
        <w:gridCol w:w="817"/>
      </w:tblGrid>
      <w:tr>
        <w:trPr/>
        <w:tc>
          <w:tcPr>
            <w:tcW w:w="996"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Shares Outstanding as of</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April 19, 2024</w:t>
            </w:r>
          </w:p>
        </w:tc>
      </w:tr>
      <w:tr>
        <w:trPr/>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$0.50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43,174,574</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INDEX</w:t>
      </w:r>
    </w:p>
    <w:p>
      <w:pPr>
        <w:pStyle w:val="TextBody"/>
        <w:bidi w:val="0"/>
        <w:spacing w:lineRule="auto" w:line="288" w:before="0" w:after="0"/>
        <w:jc w:val="left"/>
        <w:rPr>
          <w:color w:val="000000"/>
        </w:rPr>
      </w:pPr>
      <w:r>
        <w:rPr>
          <w:color w:val="000000"/>
        </w:rPr>
        <w:t> </w:t>
      </w:r>
    </w:p>
    <w:tbl>
      <w:tblPr>
        <w:tblW w:w="9777" w:type="dxa"/>
        <w:jc w:val="left"/>
        <w:tblInd w:w="0" w:type="dxa"/>
        <w:tblLayout w:type="fixed"/>
        <w:tblCellMar>
          <w:top w:w="28" w:type="dxa"/>
          <w:left w:w="28" w:type="dxa"/>
          <w:bottom w:w="28" w:type="dxa"/>
          <w:right w:w="28" w:type="dxa"/>
        </w:tblCellMar>
      </w:tblPr>
      <w:tblGrid>
        <w:gridCol w:w="3407"/>
        <w:gridCol w:w="2992"/>
        <w:gridCol w:w="3006"/>
        <w:gridCol w:w="109"/>
        <w:gridCol w:w="109"/>
        <w:gridCol w:w="154"/>
      </w:tblGrid>
      <w:tr>
        <w:trPr/>
        <w:tc>
          <w:tcPr>
            <w:tcW w:w="3407"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c>
          <w:tcPr>
            <w:tcW w:w="30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0">
              <w:r>
                <w:rPr>
                  <w:rStyle w:val="InternetLink"/>
                  <w:rFonts w:ascii="Times New Roman;sans-serif" w:hAnsi="Times New Roman;sans-serif"/>
                  <w:b/>
                  <w:color w:val="0000FF"/>
                  <w:sz w:val="20"/>
                  <w:u w:val="single"/>
                </w:rPr>
                <w:t>PART I.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3">
              <w:r>
                <w:rPr>
                  <w:rStyle w:val="InternetLink"/>
                  <w:rFonts w:ascii="Times New Roman;sans-serif" w:hAnsi="Times New Roman;sans-serif"/>
                  <w:b w:val="false"/>
                  <w:color w:val="0000FF"/>
                  <w:sz w:val="20"/>
                  <w:u w:val="single"/>
                </w:rPr>
                <w:t>Item 1.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3">
              <w:r>
                <w:rPr>
                  <w:rStyle w:val="InternetLink"/>
                  <w:rFonts w:ascii="Times New Roman;sans-serif" w:hAnsi="Times New Roman;sans-serif"/>
                  <w:b w:val="false"/>
                  <w:color w:val="0000FF"/>
                  <w:sz w:val="20"/>
                  <w:u w:val="single"/>
                </w:rPr>
                <w:t>3</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6">
              <w:r>
                <w:rPr>
                  <w:rStyle w:val="InternetLink"/>
                  <w:rFonts w:ascii="Times New Roman;sans-serif" w:hAnsi="Times New Roman;sans-serif"/>
                  <w:b w:val="false"/>
                  <w:color w:val="0000FF"/>
                  <w:sz w:val="20"/>
                  <w:u w:val="single"/>
                </w:rPr>
                <w:t>Condensed Consolidated Balance Sheets – March 31, 2024 (Unaudited) and December 31,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6">
              <w:r>
                <w:rPr>
                  <w:rStyle w:val="InternetLink"/>
                  <w:rFonts w:ascii="Times New Roman;sans-serif" w:hAnsi="Times New Roman;sans-serif"/>
                  <w:b w:val="false"/>
                  <w:color w:val="0000FF"/>
                  <w:sz w:val="20"/>
                  <w:u w:val="single"/>
                </w:rPr>
                <w:t>3</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9">
              <w:r>
                <w:rPr>
                  <w:rStyle w:val="InternetLink"/>
                  <w:rFonts w:ascii="Times New Roman;sans-serif" w:hAnsi="Times New Roman;sans-serif"/>
                  <w:b w:val="false"/>
                  <w:color w:val="0000FF"/>
                  <w:sz w:val="20"/>
                  <w:u w:val="single"/>
                </w:rPr>
                <w:t>Condensed Consolidated Statements of Earnings (Unaudited) – Three Months Ended March 31, 2024 and 2023</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9">
              <w:r>
                <w:rPr>
                  <w:rStyle w:val="InternetLink"/>
                  <w:rFonts w:ascii="Times New Roman;sans-serif" w:hAnsi="Times New Roman;sans-serif"/>
                  <w:b w:val="false"/>
                  <w:color w:val="0000FF"/>
                  <w:sz w:val="20"/>
                  <w:u w:val="single"/>
                </w:rPr>
                <w:t>4</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05"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31">
              <w:r>
                <w:rPr>
                  <w:rStyle w:val="InternetLink"/>
                  <w:rFonts w:ascii="Times New Roman;sans-serif" w:hAnsi="Times New Roman;sans-serif"/>
                  <w:b w:val="false"/>
                  <w:color w:val="000080"/>
                  <w:sz w:val="20"/>
                  <w:u w:val="single"/>
                </w:rPr>
                <w:t xml:space="preserve">Condensed Consolidated Statements of Cash Flows (Unaudited) – </w:t>
              </w:r>
            </w:hyperlink>
            <w:hyperlink w:anchor="ie5fa486d91334719bafa5f7834dd5d4d_31">
              <w:r>
                <w:rPr>
                  <w:rStyle w:val="InternetLink"/>
                  <w:rFonts w:ascii="Times New Roman;sans-serif" w:hAnsi="Times New Roman;sans-serif"/>
                  <w:b w:val="false"/>
                  <w:color w:val="000080"/>
                  <w:sz w:val="20"/>
                  <w:u w:val="single"/>
                </w:rPr>
                <w:t>Three</w:t>
              </w:r>
            </w:hyperlink>
            <w:hyperlink w:anchor="ie5fa486d91334719bafa5f7834dd5d4d_31">
              <w:r>
                <w:rPr>
                  <w:rStyle w:val="InternetLink"/>
                  <w:rFonts w:ascii="Times New Roman;sans-serif" w:hAnsi="Times New Roman;sans-serif"/>
                  <w:b w:val="false"/>
                  <w:color w:val="000080"/>
                  <w:sz w:val="20"/>
                  <w:u w:val="single"/>
                </w:rPr>
                <w:t xml:space="preserve"> Months Ended </w:t>
              </w:r>
            </w:hyperlink>
            <w:hyperlink w:anchor="ie5fa486d91334719bafa5f7834dd5d4d_31">
              <w:r>
                <w:rPr>
                  <w:rStyle w:val="InternetLink"/>
                  <w:rFonts w:ascii="Times New Roman;sans-serif" w:hAnsi="Times New Roman;sans-serif"/>
                  <w:b w:val="false"/>
                  <w:color w:val="000080"/>
                  <w:sz w:val="20"/>
                  <w:u w:val="single"/>
                </w:rPr>
                <w:t>March</w:t>
              </w:r>
            </w:hyperlink>
            <w:hyperlink w:anchor="ie5fa486d91334719bafa5f7834dd5d4d_31">
              <w:r>
                <w:rPr>
                  <w:rStyle w:val="InternetLink"/>
                  <w:rFonts w:ascii="Times New Roman;sans-serif" w:hAnsi="Times New Roman;sans-serif"/>
                  <w:b w:val="false"/>
                  <w:color w:val="000080"/>
                  <w:sz w:val="20"/>
                  <w:u w:val="single"/>
                </w:rPr>
                <w:t xml:space="preserve"> 3</w:t>
              </w:r>
            </w:hyperlink>
            <w:hyperlink w:anchor="ie5fa486d91334719bafa5f7834dd5d4d_31">
              <w:r>
                <w:rPr>
                  <w:rStyle w:val="InternetLink"/>
                  <w:rFonts w:ascii="Times New Roman;sans-serif" w:hAnsi="Times New Roman;sans-serif"/>
                  <w:b w:val="false"/>
                  <w:color w:val="000080"/>
                  <w:sz w:val="20"/>
                  <w:u w:val="single"/>
                </w:rPr>
                <w:t>1</w:t>
              </w:r>
            </w:hyperlink>
            <w:hyperlink w:anchor="ie5fa486d91334719bafa5f7834dd5d4d_31">
              <w:r>
                <w:rPr>
                  <w:rStyle w:val="InternetLink"/>
                  <w:rFonts w:ascii="Times New Roman;sans-serif" w:hAnsi="Times New Roman;sans-serif"/>
                  <w:b w:val="false"/>
                  <w:color w:val="000080"/>
                  <w:sz w:val="20"/>
                  <w:u w:val="single"/>
                </w:rPr>
                <w:t>, 202</w:t>
              </w:r>
            </w:hyperlink>
            <w:hyperlink w:anchor="ie5fa486d91334719bafa5f7834dd5d4d_31">
              <w:r>
                <w:rPr>
                  <w:rStyle w:val="InternetLink"/>
                  <w:rFonts w:ascii="Times New Roman;sans-serif" w:hAnsi="Times New Roman;sans-serif"/>
                  <w:b w:val="false"/>
                  <w:color w:val="000080"/>
                  <w:sz w:val="20"/>
                  <w:u w:val="single"/>
                </w:rPr>
                <w:t>4</w:t>
              </w:r>
            </w:hyperlink>
            <w:hyperlink w:anchor="ie5fa486d91334719bafa5f7834dd5d4d_31">
              <w:r>
                <w:rPr>
                  <w:rStyle w:val="InternetLink"/>
                  <w:rFonts w:ascii="Times New Roman;sans-serif" w:hAnsi="Times New Roman;sans-serif"/>
                  <w:b w:val="false"/>
                  <w:color w:val="000080"/>
                  <w:sz w:val="20"/>
                  <w:u w:val="single"/>
                </w:rPr>
                <w:t xml:space="preserve"> and 202</w:t>
              </w:r>
            </w:hyperlink>
            <w:hyperlink w:anchor="ie5fa486d91334719bafa5f7834dd5d4d_31">
              <w:r>
                <w:rPr>
                  <w:rStyle w:val="InternetLink"/>
                  <w:rFonts w:ascii="Times New Roman;sans-serif" w:hAnsi="Times New Roman;sans-serif"/>
                  <w:b w:val="false"/>
                  <w:color w:val="000080"/>
                  <w:sz w:val="20"/>
                  <w:u w:val="single"/>
                </w:rPr>
                <w:t>3</w:t>
              </w:r>
            </w:hyperlink>
            <w:hyperlink w:anchor="ie5fa486d91334719bafa5f7834dd5d4d_31">
              <w:r>
                <w:rPr>
                  <w:rStyle w:val="InternetLink"/>
                  <w:rFonts w:ascii="Times New Roman;sans-serif" w:hAnsi="Times New Roman;sans-serif"/>
                  <w:b w:val="false"/>
                  <w:color w:val="000080"/>
                  <w:sz w:val="20"/>
                  <w:u w:val="single"/>
                </w:rPr>
                <w:t xml:space="preserve">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31">
              <w:r>
                <w:rPr>
                  <w:rStyle w:val="InternetLink"/>
                  <w:rFonts w:ascii="Times New Roman;sans-serif" w:hAnsi="Times New Roman;sans-serif"/>
                  <w:b w:val="false"/>
                  <w:color w:val="0000FF"/>
                  <w:sz w:val="20"/>
                  <w:u w:val="single"/>
                </w:rPr>
                <w:t>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34">
              <w:r>
                <w:rPr>
                  <w:rStyle w:val="InternetLink"/>
                  <w:rFonts w:ascii="Times New Roman;sans-serif" w:hAnsi="Times New Roman;sans-serif"/>
                  <w:b w:val="false"/>
                  <w:color w:val="0000FF"/>
                  <w:sz w:val="20"/>
                  <w:u w:val="single"/>
                </w:rPr>
                <w:t>Notes to Condensed Consolidated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34">
              <w:r>
                <w:rPr>
                  <w:rStyle w:val="InternetLink"/>
                  <w:rFonts w:ascii="Times New Roman;sans-serif" w:hAnsi="Times New Roman;sans-serif"/>
                  <w:b w:val="false"/>
                  <w:color w:val="0000FF"/>
                  <w:sz w:val="20"/>
                  <w:u w:val="single"/>
                </w:rPr>
                <w:t>6</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64">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64">
              <w:r>
                <w:rPr>
                  <w:rStyle w:val="InternetLink"/>
                  <w:rFonts w:ascii="Times New Roman;sans-serif" w:hAnsi="Times New Roman;sans-serif"/>
                  <w:b w:val="false"/>
                  <w:color w:val="0000FF"/>
                  <w:sz w:val="20"/>
                  <w:u w:val="single"/>
                </w:rPr>
                <w:t>22</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94">
              <w:r>
                <w:rPr>
                  <w:rStyle w:val="InternetLink"/>
                  <w:rFonts w:ascii="Times New Roman;sans-serif" w:hAnsi="Times New Roman;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94">
              <w:r>
                <w:rPr>
                  <w:rStyle w:val="InternetLink"/>
                  <w:rFonts w:ascii="Times New Roman;sans-serif" w:hAnsi="Times New Roman;sans-serif"/>
                  <w:b w:val="false"/>
                  <w:color w:val="0000FF"/>
                  <w:sz w:val="20"/>
                  <w:u w:val="single"/>
                </w:rPr>
                <w:t>33</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97">
              <w:r>
                <w:rPr>
                  <w:rStyle w:val="InternetLink"/>
                  <w:rFonts w:ascii="Times New Roman;sans-serif" w:hAnsi="Times New Roman;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97">
              <w:r>
                <w:rPr>
                  <w:rStyle w:val="InternetLink"/>
                  <w:rFonts w:ascii="Times New Roman;sans-serif" w:hAnsi="Times New Roman;sans-serif"/>
                  <w:b w:val="false"/>
                  <w:color w:val="0000FF"/>
                  <w:sz w:val="20"/>
                  <w:u w:val="single"/>
                </w:rPr>
                <w:t>34</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00">
              <w:r>
                <w:rPr>
                  <w:rStyle w:val="InternetLink"/>
                  <w:rFonts w:ascii="Times New Roman;sans-serif" w:hAnsi="Times New Roman;sans-serif"/>
                  <w:b/>
                  <w:color w:val="0000FF"/>
                  <w:sz w:val="20"/>
                  <w:u w:val="single"/>
                </w:rPr>
                <w:t>PART II.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03">
              <w:r>
                <w:rPr>
                  <w:rStyle w:val="InternetLink"/>
                  <w:rFonts w:ascii="Times New Roman;sans-serif" w:hAnsi="Times New Roman;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03">
              <w:r>
                <w:rPr>
                  <w:rStyle w:val="InternetLink"/>
                  <w:rFonts w:ascii="Times New Roman;sans-serif" w:hAnsi="Times New Roman;sans-serif"/>
                  <w:b w:val="false"/>
                  <w:color w:val="0000FF"/>
                  <w:sz w:val="20"/>
                  <w:u w:val="single"/>
                </w:rPr>
                <w:t>35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06">
              <w:r>
                <w:rPr>
                  <w:rStyle w:val="InternetLink"/>
                  <w:rFonts w:ascii="Times New Roman;sans-serif" w:hAnsi="Times New Roman;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06">
              <w:r>
                <w:rPr>
                  <w:rStyle w:val="InternetLink"/>
                  <w:rFonts w:ascii="Times New Roman;sans-serif" w:hAnsi="Times New Roman;sans-serif"/>
                  <w:b w:val="false"/>
                  <w:color w:val="0000FF"/>
                  <w:sz w:val="20"/>
                  <w:u w:val="single"/>
                </w:rPr>
                <w:t>35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09">
              <w:r>
                <w:rPr>
                  <w:rStyle w:val="InternetLink"/>
                  <w:rFonts w:ascii="Times New Roman;sans-serif" w:hAnsi="Times New Roman;sans-serif"/>
                  <w:b w:val="false"/>
                  <w:color w:val="0000FF"/>
                  <w:sz w:val="20"/>
                  <w:u w:val="single"/>
                </w:rPr>
                <w:t>Item 2. 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09">
              <w:r>
                <w:rPr>
                  <w:rStyle w:val="InternetLink"/>
                  <w:rFonts w:ascii="Times New Roman;sans-serif" w:hAnsi="Times New Roman;sans-serif"/>
                  <w:b w:val="false"/>
                  <w:color w:val="0000FF"/>
                  <w:sz w:val="20"/>
                  <w:u w:val="single"/>
                </w:rPr>
                <w:t>35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12">
              <w:r>
                <w:rPr>
                  <w:rStyle w:val="InternetLink"/>
                  <w:rFonts w:ascii="Times New Roman;sans-serif" w:hAnsi="Times New Roman;sans-serif"/>
                  <w:b w:val="false"/>
                  <w:color w:val="0000FF"/>
                  <w:sz w:val="20"/>
                  <w:u w:val="single"/>
                </w:rPr>
                <w:t>Item 3. Defaults Upon Senior Securities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12">
              <w:r>
                <w:rPr>
                  <w:rStyle w:val="InternetLink"/>
                  <w:rFonts w:ascii="Times New Roman;sans-serif" w:hAnsi="Times New Roman;sans-serif"/>
                  <w:b w:val="false"/>
                  <w:color w:val="0000FF"/>
                  <w:sz w:val="20"/>
                  <w:u w:val="single"/>
                </w:rPr>
                <w:t>35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15">
              <w:r>
                <w:rPr>
                  <w:rStyle w:val="InternetLink"/>
                  <w:rFonts w:ascii="Times New Roman;sans-serif" w:hAnsi="Times New Roman;sans-serif"/>
                  <w:b w:val="false"/>
                  <w:color w:val="0000FF"/>
                  <w:sz w:val="20"/>
                  <w:u w:val="single"/>
                </w:rPr>
                <w:t>Item 4. Mine Safety Disclosures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15">
              <w:r>
                <w:rPr>
                  <w:rStyle w:val="InternetLink"/>
                  <w:rFonts w:ascii="Times New Roman;sans-serif" w:hAnsi="Times New Roman;sans-serif"/>
                  <w:b w:val="false"/>
                  <w:color w:val="0000FF"/>
                  <w:sz w:val="20"/>
                  <w:u w:val="single"/>
                </w:rPr>
                <w:t>35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18">
              <w:r>
                <w:rPr>
                  <w:rStyle w:val="InternetLink"/>
                  <w:rFonts w:ascii="Times New Roman;sans-serif" w:hAnsi="Times New Roman;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18">
              <w:r>
                <w:rPr>
                  <w:rStyle w:val="InternetLink"/>
                  <w:rFonts w:ascii="Times New Roman;sans-serif" w:hAnsi="Times New Roman;sans-serif"/>
                  <w:b w:val="false"/>
                  <w:color w:val="0000FF"/>
                  <w:sz w:val="20"/>
                  <w:u w:val="single"/>
                </w:rPr>
                <w:t>35</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21">
              <w:r>
                <w:rPr>
                  <w:rStyle w:val="InternetLink"/>
                  <w:rFonts w:ascii="Times New Roman;sans-serif" w:hAnsi="Times New Roman;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21">
              <w:r>
                <w:rPr>
                  <w:rStyle w:val="InternetLink"/>
                  <w:rFonts w:ascii="Times New Roman;sans-serif" w:hAnsi="Times New Roman;sans-serif"/>
                  <w:b w:val="false"/>
                  <w:color w:val="0000FF"/>
                  <w:sz w:val="20"/>
                  <w:u w:val="single"/>
                </w:rPr>
                <w:t>36</w:t>
              </w:r>
            </w:hyperlink>
          </w:p>
        </w:tc>
      </w:tr>
      <w:tr>
        <w:trPr/>
        <w:tc>
          <w:tcPr>
            <w:tcW w:w="9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fa486d91334719bafa5f7834dd5d4d_124">
              <w:r>
                <w:rPr>
                  <w:rStyle w:val="InternetLink"/>
                  <w:rFonts w:ascii="Times New Roman;sans-serif" w:hAnsi="Times New Roman;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fa486d91334719bafa5f7834dd5d4d_124">
              <w:r>
                <w:rPr>
                  <w:rStyle w:val="InternetLink"/>
                  <w:rFonts w:ascii="Times New Roman;sans-serif" w:hAnsi="Times New Roman;sans-serif"/>
                  <w:b w:val="false"/>
                  <w:color w:val="0000FF"/>
                  <w:sz w:val="20"/>
                  <w:u w:val="single"/>
                </w:rPr>
                <w:t>37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PART I –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100"/>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3546"/>
        <w:gridCol w:w="1842"/>
        <w:gridCol w:w="1852"/>
        <w:gridCol w:w="211"/>
        <w:gridCol w:w="976"/>
        <w:gridCol w:w="109"/>
        <w:gridCol w:w="109"/>
        <w:gridCol w:w="109"/>
        <w:gridCol w:w="109"/>
        <w:gridCol w:w="211"/>
        <w:gridCol w:w="976"/>
        <w:gridCol w:w="155"/>
      </w:tblGrid>
      <w:tr>
        <w:trPr/>
        <w:tc>
          <w:tcPr>
            <w:tcW w:w="3546"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Data)</w:t>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of allowances of $64,272 in 2024 and $64,180 in 2023)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Merchandise (net of accumulated depreciation and allowances of $420,395 in 2024 and $423,466 in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 of allowances and unamortized fees of $47,684 in 2024 and $50,022 in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126,823 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91,664 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&amp; SHAREHOLDERS’ EQUITY:</w:t>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Liabilities </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899,924 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4)</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SHAREHOLDERS'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 Par Value $0.50 Per Share: Authorized: 225,000,000 Shares at March 31, 2024 and December 31, 2023; Shares Issued: 82,078,654</w:t>
            </w:r>
            <w:r>
              <w:rPr>
                <w:color w:val="EE2724"/>
              </w:rPr>
              <w:t xml:space="preserve"> </w:t>
            </w:r>
            <w:r>
              <w:rPr>
                <w:rFonts w:ascii="Times New Roman;sans-serif" w:hAnsi="Times New Roman;sans-serif"/>
                <w:b w:val="false"/>
                <w:color w:val="000000"/>
                <w:sz w:val="20"/>
              </w:rPr>
              <w:t>at March 31, 2024 and December 31,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1,293,073 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1,697,391 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1,686,533 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Shares at Cost</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 38,904,934</w:t>
            </w:r>
            <w:r>
              <w:rPr>
                <w:color w:val="EE2724"/>
              </w:rPr>
              <w:t xml:space="preserve"> </w:t>
            </w:r>
            <w:r>
              <w:rPr>
                <w:rFonts w:ascii="Times New Roman;sans-serif" w:hAnsi="Times New Roman;sans-serif"/>
                <w:b w:val="false"/>
                <w:color w:val="000000"/>
                <w:sz w:val="20"/>
              </w:rPr>
              <w:t>Shares at March 31, 2024 and 38,404,527 at December 31,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(1,095,202)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591,331 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&amp; Shareholders’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1,461,666 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1,491,255 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ans-serif" w:hAnsi="Times New Roman;sans-serif"/>
          <w:b w:val="false"/>
          <w:i/>
          <w:color w:val="000000"/>
          <w:sz w:val="20"/>
        </w:rPr>
        <w:t>The accompanying notes are an integral part of the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7992" w:type="dxa"/>
        <w:jc w:val="center"/>
        <w:tblInd w:w="0" w:type="dxa"/>
        <w:tblLayout w:type="fixed"/>
        <w:tblCellMar>
          <w:top w:w="28" w:type="dxa"/>
          <w:left w:w="28" w:type="dxa"/>
          <w:bottom w:w="28" w:type="dxa"/>
          <w:right w:w="28" w:type="dxa"/>
        </w:tblCellMar>
      </w:tblPr>
      <w:tblGrid>
        <w:gridCol w:w="1656"/>
        <w:gridCol w:w="1457"/>
        <w:gridCol w:w="1462"/>
        <w:gridCol w:w="236"/>
        <w:gridCol w:w="927"/>
        <w:gridCol w:w="122"/>
        <w:gridCol w:w="122"/>
        <w:gridCol w:w="122"/>
        <w:gridCol w:w="122"/>
        <w:gridCol w:w="236"/>
        <w:gridCol w:w="927"/>
        <w:gridCol w:w="122"/>
        <w:gridCol w:w="109"/>
        <w:gridCol w:w="109"/>
        <w:gridCol w:w="109"/>
        <w:gridCol w:w="154"/>
      </w:tblGrid>
      <w:tr>
        <w:trPr/>
        <w:tc>
          <w:tcPr>
            <w:tcW w:w="1656"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66"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Revenues and Fees</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641,870 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Lease Merchandise Write-offs</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602,053 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579,062 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PROFIT </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 EXPENSE </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NET EARNINGS </w:t>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21,966 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Assuming Dilution</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CASH DIVIDENDS DECLARED PER SHARE:</w:t>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Assuming Dilution</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pPr>
      <w:r>
        <w:rPr>
          <w:rFonts w:ascii="Times New Roman;sans-serif" w:hAnsi="Times New Roman;sans-serif"/>
          <w:b w:val="false"/>
          <w:i/>
          <w:color w:val="000000"/>
          <w:sz w:val="20"/>
        </w:rPr>
        <w:t>The accompanying notes are an integral part of the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bl>
      <w:tblPr>
        <w:tblW w:w="9428" w:type="dxa"/>
        <w:jc w:val="center"/>
        <w:tblInd w:w="0" w:type="dxa"/>
        <w:tblLayout w:type="fixed"/>
        <w:tblCellMar>
          <w:top w:w="28" w:type="dxa"/>
          <w:left w:w="28" w:type="dxa"/>
          <w:bottom w:w="28" w:type="dxa"/>
          <w:right w:w="28" w:type="dxa"/>
        </w:tblCellMar>
      </w:tblPr>
      <w:tblGrid>
        <w:gridCol w:w="2452"/>
        <w:gridCol w:w="2153"/>
        <w:gridCol w:w="2159"/>
        <w:gridCol w:w="211"/>
        <w:gridCol w:w="826"/>
        <w:gridCol w:w="109"/>
        <w:gridCol w:w="109"/>
        <w:gridCol w:w="109"/>
        <w:gridCol w:w="109"/>
        <w:gridCol w:w="211"/>
        <w:gridCol w:w="826"/>
        <w:gridCol w:w="154"/>
      </w:tblGrid>
      <w:tr>
        <w:trPr/>
        <w:tc>
          <w:tcPr>
            <w:tcW w:w="245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Accounts Receivable and Loan Losses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Impairment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Lease Merchandise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(399,289)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Book Value of Lease Merchandise Sold or Disposed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(61,249)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Receivable and Payable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Deposits and Advance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Loans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Outflows on 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Treasury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Stock Under Stock Option and Employee Purchase Plans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for Tax Payments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(Received) During the Period:</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pPr>
      <w:r>
        <w:rPr>
          <w:rFonts w:ascii="Times New Roman;sans-serif" w:hAnsi="Times New Roman;sans-serif"/>
          <w:b w:val="false"/>
          <w:i/>
          <w:color w:val="000000"/>
          <w:sz w:val="20"/>
        </w:rPr>
        <w:t>The accompanying notes are an integral part of the Condensed Consolidated Financial Statements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1. BASIS AND SUMMARY OF SIGNIFICANT ACCOUNTING POLICIES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Progressive Leasing segment provides consumers with lease-purchase solutions through its point-of-sale partner locations and e-commerce website partners in the United States and Puerto Rico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 Holdings’ ecosystem of financial technology offerings also includes Four Technologies, Inc. ("Four"), a Buy Now, Pay Later ("BNPL") company that allows shoppers to pay for merchandise through four interest-free installments. Shoppers use Four to purchase furniture, clothing, electronics, health and beauty products, footwear, jewelry, and other consumer goods from retailers across the United States. Four is not a reportable segment for the three-month period ended March 31, 2024 as its financial results are not material to the Company's condensed consolidated financial results.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the Company's condensed consolidated financial statements in conformity with accounting principles generally accepted in the United States ("U.S. GAAP") for interim financial information requires management to make estimates and assumptions that affect the amounts reported in these condensed consolidated financial statements and accompanying notes. Actual results could differ from those estimates. Management does not believe these estimates or assumptions will change significantly in the future absent unidentified and unforeseen events, such as the possible direct or indirect impacts associated with elevated inflation, increasing unemployment rates, the resumption of student loan repayments, and/or the possibility of a recession in the United States.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do not include all information required by U.S. GAAP for complete financial statements. In the opinion of management, all adjustments, which are of a normal recurring nature, considered necessary for a fair presentation have been included in the accompanying unaudited condensed consolidated financial statements. These condensed consolidated financial statements should be read in conjunction with the financial statements and notes thereto included in the Company's Annual Report on Form 10-K for the year ended December 31, 2023 (the "2023 Annual Report") filed with the United States Securities and Exchange Commission on February 21, 2024. The results of operations for the three months ended March 31, 2024 are not necessarily indicative of operating results for the full year.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PROG Holdings, Inc. and its subsidiaries, each of which is wholly-owned. Intercompany balances and transactions between consolidated entities have been eliminated.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Accounting Policies and Estimates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 to the consolidated financial statements in the 2023 Annual Report for an expanded discussion of accounting policies and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left"/>
        <w:rPr>
          <w:rFonts w:ascii="Times New Roman;sans-serif" w:hAnsi="Times New Roman;sans-serif"/>
          <w:b/>
          <w:i/>
          <w:color w:val="000000"/>
          <w:sz w:val="20"/>
        </w:rPr>
      </w:pPr>
      <w:bookmarkStart w:id="0" w:name="if13bab249a6d42438f17cce25746dd45_33152"/>
      <w:bookmarkEnd w:id="0"/>
      <w:r>
        <w:rPr>
          <w:rFonts w:ascii="Times New Roman;sans-serif" w:hAnsi="Times New Roman;sans-serif"/>
          <w:b/>
          <w:i/>
          <w:color w:val="000000"/>
          <w:sz w:val="20"/>
        </w:rPr>
        <w:t>Earnings Per Share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per share is computed by dividing net earnings by the weighted average number of shares of common stock outstanding during the period. The computation of earnings per share assuming dilution includes the dilutive effect of stock options, restricted stock units ("RSUs"), restricted stock awards ("RSAs"), performance share units ("PSUs") and awards issuable under the Company's employee stock purchase plan ("ESPP") (collectively, "share-based awards") as determined under the treasury stock method. The following table shows the calculation of dilutive share-based awards: </w:t>
      </w:r>
    </w:p>
    <w:tbl>
      <w:tblPr>
        <w:tblW w:w="8188" w:type="dxa"/>
        <w:jc w:val="left"/>
        <w:tblInd w:w="0" w:type="dxa"/>
        <w:tblLayout w:type="fixed"/>
        <w:tblCellMar>
          <w:top w:w="28" w:type="dxa"/>
          <w:left w:w="28" w:type="dxa"/>
          <w:bottom w:w="28" w:type="dxa"/>
          <w:right w:w="28" w:type="dxa"/>
        </w:tblCellMar>
      </w:tblPr>
      <w:tblGrid>
        <w:gridCol w:w="1755"/>
        <w:gridCol w:w="1542"/>
        <w:gridCol w:w="1548"/>
        <w:gridCol w:w="500"/>
        <w:gridCol w:w="266"/>
        <w:gridCol w:w="266"/>
        <w:gridCol w:w="266"/>
        <w:gridCol w:w="266"/>
        <w:gridCol w:w="266"/>
        <w:gridCol w:w="500"/>
        <w:gridCol w:w="266"/>
        <w:gridCol w:w="266"/>
        <w:gridCol w:w="109"/>
        <w:gridCol w:w="109"/>
        <w:gridCol w:w="109"/>
        <w:gridCol w:w="154"/>
      </w:tblGrid>
      <w:tr>
        <w:trPr/>
        <w:tc>
          <w:tcPr>
            <w:tcW w:w="1755"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(Shares In Thousands)</w:t>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Share-Based Awards</w:t>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Assuming Dilution</w:t>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98"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48,139 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Approximately 797,000 and 1,209,000 weighted-average share-based awards were excluded from the computation of earnings per share assuming dilution during the three months ended March 31, 2024 and 2023, respectively, as the awards would have been anti-dilutive for the periods presented.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Recognition </w:t>
      </w:r>
    </w:p>
    <w:p>
      <w:pPr>
        <w:pStyle w:val="TextBody"/>
        <w:bidi w:val="0"/>
        <w:spacing w:lineRule="auto" w:line="288" w:before="180" w:after="283"/>
        <w:jc w:val="both"/>
        <w:rPr>
          <w:rFonts w:ascii="Times New Roman;sans-serif" w:hAnsi="Times New Roman;sans-serif"/>
          <w:b w:val="false"/>
          <w:i/>
          <w:color w:val="000000"/>
          <w:sz w:val="20"/>
        </w:rPr>
      </w:pPr>
      <w:bookmarkStart w:id="1" w:name="if13bab249a6d42438f17cce25746dd45_33169"/>
      <w:bookmarkEnd w:id="1"/>
      <w:r>
        <w:rPr>
          <w:rFonts w:ascii="Times New Roman;sans-serif" w:hAnsi="Times New Roman;sans-serif"/>
          <w:b w:val="false"/>
          <w:i/>
          <w:color w:val="000000"/>
          <w:sz w:val="20"/>
        </w:rPr>
        <w:t>Lease Revenues and Fees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 provides merchandise, consisting primarily of furniture, appliances, electronics, jewelry, mobile phones and accessories, mattresses, automobile electronics and accessories, and a variety of other products, to its customers for lease under terms agreed to by the customer. Progressive Leasing offers customers of traditional and e-commerce retailers a lease-purchase solution through leases with payment terms that can generally be renewed up to 12 months. Progressive Leasing does not require deposits upon inception of customer agreements. The customer has the right to acquire ownership either through early buyout options or through payment of all required lease payments. The agreements are cancellable at any time by either party without penalty.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Progressive Leasing's customer agreements are considered operating leases. The Company maintains ownership of the lease merchandise until all payment obligations are satisfied under the lease ownership agreements. Initial lease payments made by the customer upon lease execution are recognized as deferred revenue and are amortized as lease revenue over the estimated lease term on a straight-line basis. Initial lease payments and other payments collected in advance of being due or earned are recognized as deferred revenue within customer deposits and advance payments in the accompanying condensed consolidated balance sheets. All other customer lease billings are earned prior to the lease payment due date and are recorded net of related sales taxes as earned. Payment due date terms include weekly, bi-weekly, semi-monthly and monthly frequencies. Revenue recorded prior to the payment due date results in unbilled receivables recognized in accounts receivable, net of allowances, in the accompanying condensed consolidated balance sheets. Lease revenues are recorded net of a provision for uncollectible renewal payments.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direct costs related to lease purchase agreements are capitalized as incurred and amortized as operating expense over the estimated lease term. The capitalized costs have been classified within prepaid expenses and other assets in the accompanying condensed consolidated balance sheets.</w:t>
      </w:r>
    </w:p>
    <w:p>
      <w:pPr>
        <w:pStyle w:val="TextBody"/>
        <w:bidi w:val="0"/>
        <w:spacing w:lineRule="auto" w:line="288" w:before="180" w:after="283"/>
        <w:jc w:val="left"/>
        <w:rPr>
          <w:rFonts w:ascii="Times New Roman;sans-serif" w:hAnsi="Times New Roman;sans-serif"/>
          <w:b w:val="false"/>
          <w:i/>
          <w:color w:val="000000"/>
          <w:sz w:val="20"/>
        </w:rPr>
      </w:pPr>
      <w:bookmarkStart w:id="2" w:name="if13bab249a6d42438f17cce25746dd45_33170"/>
      <w:bookmarkEnd w:id="2"/>
      <w:r>
        <w:rPr>
          <w:rFonts w:ascii="Times New Roman;sans-serif" w:hAnsi="Times New Roman;sans-serif"/>
          <w:b w:val="false"/>
          <w:i/>
          <w:color w:val="000000"/>
          <w:sz w:val="20"/>
        </w:rPr>
        <w:t>Interest and Fees on Loans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 is primarily generated from our Vive segment. Vive extends or declines credit to an applicant through its bank partners based upon the applicant's credit rating and other factors. Qualifying applicants are approved for a specified maximum revolving credit card line to finance their initial purchase and to use in subsequent purchases at the merchant or other participating merchants for an initial 24-month period, which Vive may renew if the cardholder remains in good standing.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Vive acquires the loan receivable from its third-party bank partners at a discount from the face value of the loan. The discount is comprised of a merchant fee discount and a promotional fee discount, if applicable.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merchant fee discount represents a pre-negotiated, nonrefundable discount that generally ranges from 3% to 25% of the loan face value. The discount is designed to cover the risk of loss related to the portfolio of cardholder charges and Vive's direct origination costs. The merchant fee discount and origination costs are presented net in the condensed consolidated balance sheets in loans receivable. Cardholders generally have an initial 24-month period that the card is active. The merchant fee discount, net of the origination costs, is amortized on a net basis and is recorded as interest and fees on loans receivable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condensed consolidated statements of earnings on a straight-line basis over the initial 24-month period. If the loan receivable is paid off or charged off during the 24-month period, the remaining net merchant fee discount is recognized as interest and fees on loans receivable at that time.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discount from the face value of the loan on the acquisition of the loan receivable from the merchant through the third-party bank partners may also include a promotional fee discount, which generally ranges from 1% to 8%. The promotional fee discount is intended to compensate the holder of the loan receivable (i.e., Vive) for deferred or reduced interest rates that are offered to the cardholder for a specified period on the outstanding loan balance (generally for six, 12 or 18 months). The promotional fee discount is amortized as interest and fees on loans receivable in the condensed consolidated statements of earnings on a straight-line basis over the promotional interest period (i.e., over six, 12 or 18 months, depending on the promotion). If the loan receivable is paid off or charged off prior to the expiration of the promotional period, the remaining promotional fee discount is recognized as interest and fees on loans receivable at that time. The unamortized promotional fee discount is presented net within loans receivable in the condensed consolidated balance sheets.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customer is typically required to make monthly minimum payments of at least 3.5% of the outstanding loan balance, which includes outstanding interest. Fixed and variable interest rates, typically 27% to 35.99%, are compounded daily for cards that do not qualify for deferred or reduced interest promotional periods. Interest income, which is recognized based upon the amount of the loans outstanding, is recognized as interest and fees on loans receivable when earned if collectibility is reasonably assured. For credit cards that provide deferred interest, if the balance is not paid off during the promotional period or if the cardholder defaults, interest is billed to the customers at standard rates and the cumulative amount owed is charged to the cardholder account in the month that the promotional period expires. The Company recognizes interest revenue during the promotional period based on its historical experience related to cardholders that fail to pay off balances during the promotional period if collectibility is reasonably assured.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fees are charged to cardholders at the commencement of the loan and on each subsequent anniversary date. Annual fees are deferred and recognized into revenue on a straight-line basis over a one-year period. Under the provisions of the credit card agreements, Vive also may assess fees for missed or late payments, which are recognized as revenue in the billing period in which they are assessed if collectibility is reasonably assured. Annual fees and other fees are recognized as interest and fees on loans receivable in the condensed consolidated statements of earnings.</w:t>
      </w:r>
    </w:p>
    <w:p>
      <w:pPr>
        <w:pStyle w:val="TextBody"/>
        <w:bidi w:val="0"/>
        <w:spacing w:lineRule="auto" w:line="288" w:before="180" w:after="283"/>
        <w:jc w:val="left"/>
        <w:rPr>
          <w:rFonts w:ascii="Times New Roman;sans-serif" w:hAnsi="Times New Roman;sans-serif"/>
          <w:b/>
          <w:i/>
          <w:color w:val="000000"/>
          <w:sz w:val="20"/>
        </w:rPr>
      </w:pPr>
      <w:bookmarkStart w:id="3" w:name="if13bab249a6d42438f17cce25746dd45_33235"/>
      <w:bookmarkEnd w:id="3"/>
      <w:r>
        <w:rPr>
          <w:rFonts w:ascii="Times New Roman;sans-serif" w:hAnsi="Times New Roman;sans-serif"/>
          <w:b/>
          <w:i/>
          <w:color w:val="000000"/>
          <w:sz w:val="20"/>
        </w:rPr>
        <w:t>Accounts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consist primarily of receivables due from customers of Progressive Leasing and amounted to $62.0 million and $67.9 million, net of allowances, as of March 31, 2024 and December 31, 2023, respectively.</w:t>
      </w:r>
    </w:p>
    <w:p>
      <w:pPr>
        <w:pStyle w:val="TextBody"/>
        <w:bidi w:val="0"/>
        <w:spacing w:lineRule="auto" w:line="288" w:before="100" w:after="283"/>
        <w:jc w:val="left"/>
        <w:rPr>
          <w:rFonts w:ascii="Times New Roman;sans-serif" w:hAnsi="Times New Roman;sans-serif"/>
          <w:b w:val="false"/>
          <w:color w:val="000000"/>
          <w:sz w:val="20"/>
        </w:rPr>
      </w:pPr>
      <w:bookmarkStart w:id="4" w:name="if13bab249a6d42438f17cce25746dd45_33248"/>
      <w:bookmarkEnd w:id="4"/>
      <w:r>
        <w:rPr>
          <w:rFonts w:ascii="Times New Roman;sans-serif" w:hAnsi="Times New Roman;sans-serif"/>
          <w:b w:val="false"/>
          <w:color w:val="000000"/>
          <w:sz w:val="20"/>
        </w:rPr>
        <w:t>The Company maintains an accounts receivable allowance, which primarily relates to its Progressive Leasing operations and, to a lesser extent, receivables from Vive's POS partners. The Company’s policy is to record an allowance for uncollectible renewal payments based on historical collection experience. Other qualitative factors, such as current and forecasted business trends, are considered in estimating the allowance. Given the significant uncertainty regarding the impacts of inflation, elevated interest rates, the resumption of student loan repayments, and/or unemployment rates on our business, a high level of estimation was involved in determining the allowance as of March 31, 2024. Therefore, actual future accounts receivable write-offs may differ materially from the allowance. The provision for uncollectible renewal payments is recorded as a reduction of lease revenues and fees within the condensed consolidated statements of earnings. For customer lease agreements that are past due, the Company's policy is to write off lease receivables after 120 days.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Vive's allowance for uncollectible merchant accounts receivable, which primarily relates to cardholder returns and refunds, and is an immaterial amount related to Vive's bad debt expense, is recorded within operating expenses in the condensed consolidated statements of earnings. See below for a discussion of Vive's loans receivable and related allowance for loan losses.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accounts receivable allowance:</w:t>
      </w:r>
    </w:p>
    <w:tbl>
      <w:tblPr>
        <w:tblW w:w="6621" w:type="dxa"/>
        <w:jc w:val="left"/>
        <w:tblInd w:w="0" w:type="dxa"/>
        <w:tblLayout w:type="fixed"/>
        <w:tblCellMar>
          <w:top w:w="28" w:type="dxa"/>
          <w:left w:w="28" w:type="dxa"/>
          <w:bottom w:w="28" w:type="dxa"/>
          <w:right w:w="28" w:type="dxa"/>
        </w:tblCellMar>
      </w:tblPr>
      <w:tblGrid>
        <w:gridCol w:w="1234"/>
        <w:gridCol w:w="1083"/>
        <w:gridCol w:w="1087"/>
        <w:gridCol w:w="109"/>
        <w:gridCol w:w="109"/>
        <w:gridCol w:w="109"/>
        <w:gridCol w:w="211"/>
        <w:gridCol w:w="721"/>
        <w:gridCol w:w="109"/>
        <w:gridCol w:w="109"/>
        <w:gridCol w:w="109"/>
        <w:gridCol w:w="109"/>
        <w:gridCol w:w="211"/>
        <w:gridCol w:w="721"/>
        <w:gridCol w:w="109"/>
        <w:gridCol w:w="109"/>
        <w:gridCol w:w="109"/>
        <w:gridCol w:w="109"/>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 Value of Accounts Written 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bookmarkStart w:id="5" w:name="if13bab249a6d42438f17cce25746dd45_33157"/>
      <w:bookmarkEnd w:id="5"/>
      <w:r>
        <w:rPr>
          <w:rFonts w:ascii="Times New Roman;sans-serif" w:hAnsi="Times New Roman;sans-serif"/>
          <w:b/>
          <w:i/>
          <w:color w:val="000000"/>
          <w:sz w:val="20"/>
        </w:rPr>
        <w:t>Lease Merchandise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Leasing's merchandise consists primarily of furniture, appliances, electronics, jewelry, mobile phones and accessories, mattresses, automobile electronics and accessories, and a variety of other products, and is recorded at the lower of depreciated cost or net realizable value. Progressive Leasing depreciates lease merchandise to a 0% salvage value generally over 12 months. Depreciation is accelerated upon early buyout. All of Progressive Leasing's merchandise, net of accumulated depreciation and allowances, represents on-lease merchandise.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a provision for write-offs using the allowance method. The allowance method for lease merchandise write-offs estimates the merchandise losses incurred but not yet identified by management as of the end of the accounting period based on historical write-off experience. Other qualitative factors, such as current and forecasted customer payment trends, are considered in estimating the allowance. Given the significant uncertainty regarding the impacts of inflation, elevated interest rates, the resumption of student loan repayments, and/or unemployment rates on our business, a high level of estimation was involved in determining the allowance as of March 31, 2024. Actual lease merchandise write-offs may differ materially from the allowance as of March 31, 2024. For customer lease agreements that are past due, the Company's policy is to write off lease merchandise after 120 days.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components of the allowance for lease merchandise write-offs, which is included within lease merchandise, net in the condensed consolidated balance sheets:</w:t>
      </w:r>
    </w:p>
    <w:tbl>
      <w:tblPr>
        <w:tblW w:w="6549" w:type="dxa"/>
        <w:jc w:val="center"/>
        <w:tblInd w:w="0" w:type="dxa"/>
        <w:tblLayout w:type="fixed"/>
        <w:tblCellMar>
          <w:top w:w="28" w:type="dxa"/>
          <w:left w:w="28" w:type="dxa"/>
          <w:bottom w:w="28" w:type="dxa"/>
          <w:right w:w="28" w:type="dxa"/>
        </w:tblCellMar>
      </w:tblPr>
      <w:tblGrid>
        <w:gridCol w:w="1326"/>
        <w:gridCol w:w="1164"/>
        <w:gridCol w:w="1169"/>
        <w:gridCol w:w="211"/>
        <w:gridCol w:w="721"/>
        <w:gridCol w:w="109"/>
        <w:gridCol w:w="109"/>
        <w:gridCol w:w="109"/>
        <w:gridCol w:w="109"/>
        <w:gridCol w:w="211"/>
        <w:gridCol w:w="721"/>
        <w:gridCol w:w="109"/>
        <w:gridCol w:w="109"/>
        <w:gridCol w:w="109"/>
        <w:gridCol w:w="109"/>
        <w:gridCol w:w="154"/>
      </w:tblGrid>
      <w:tr>
        <w:trPr/>
        <w:tc>
          <w:tcPr>
            <w:tcW w:w="1326"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Book Value of Merchandise Written off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Write-offs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Vendor Incentives and Rebates Provided to POS Partners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 has agreements with some of its POS partners that require additional consideration to be paid to the POS partner, including payments for exclusivity, rebates based on lease volume originations generated through the POS partners, and payments to the POS partners for marketing or other development initiatives to promote additional lease originations through these POS partners. Payments made to POS partners as consideration for them providing exclusivity to Progressive Leasing for lease-to-own transactions with customers of the POS partner are expensed on a straight-line basis over the exclusivity term. Rebates are accrued over the period the POS partner is earning the rebate, which is typically based on quarterly or annual lease origination volumes. Payments made to POS partners for marketing or development initiatives are expensed on a straight-line basis over the period the POS partner is earning the funds or the specified marketing term. Progressive Leasing expensed $8.8 million and $6.8 million for such additional consideration to POS partners during the three months ended March 31, 2024 and 2023, respectively. Expenses related to additional consideration provided to POS partners are classified within operating expenses in the condensed consolidated statements of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left"/>
        <w:rPr>
          <w:rFonts w:ascii="Times New Roman;sans-serif" w:hAnsi="Times New Roman;sans-serif"/>
          <w:b/>
          <w:i/>
          <w:color w:val="000000"/>
          <w:sz w:val="20"/>
        </w:rPr>
      </w:pPr>
      <w:bookmarkStart w:id="6" w:name="if13bab249a6d42438f17cce25746dd45_33188"/>
      <w:bookmarkEnd w:id="6"/>
      <w:r>
        <w:rPr>
          <w:rFonts w:ascii="Times New Roman;sans-serif" w:hAnsi="Times New Roman;sans-serif"/>
          <w:b/>
          <w:i/>
          <w:color w:val="000000"/>
          <w:sz w:val="20"/>
        </w:rPr>
        <w:t>Loans Receivable, Net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Gross loans receivable primarily represents the principal balances of credit card charges at Vive's participating merchants that remain due from cardholders, plus unpaid interest and fees due from cardholders. The allowance and unamortized fees represent uncollectible amounts; merchant fee discounts, net of capitalized origination costs; promotional fee discounts; and deferred annual card fees. Loans receivable, net, also includes $10.3 million and $13.9 million of outstanding receivables from customers of Four as of March 31, 2024 and December 31, 2023, respectively.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Economic conditions and loan performance trends are closely monitored to manage and evaluate exposure to credit risk. Trends in delinquency rates are an indicator of credit risk within the loans receivable portfolio, including the migration of loans between delinquency categories over time. Charge-off rates represent another indicator of the potential for future credit losses. The risk in the loans receivable portfolio is correlated with broad economic trends, such as current and projected unemployment rates, stock market volatility, and changes in medium and long-term risk-free rates, which are considered in determining the allowance for loan losses and can have a material effect on credit performance.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lifetime losses on loans receivable are recognized upon loan acquisition, which requires the Company to make its best estimate of probable lifetime losses at the time of acquisition. Vive's credit card loans do not have contractually stated maturity dates, which requires the Company to estimate an average life of loan by analyzing historical payment trends to determine an expected remaining life of the loan balance. The Company segments its loans receivable portfolio into homogenous pools by Fair Isaac and Company ("FICO") score and by delinquency status and evaluates loans receivable collectively for impairment when similar risk characteristics exist.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calculates Vive's allowance for loan losses based on internal historical loss information and incorporates observable and forecasted macroeconomic data over a six-month reasonable and supportable forecast period. Incorporating macroeconomic data could have a material impact on the measurement of the allowance to the extent that forecasted data changes significantly, such as higher forecasted inflation and unemployment rates. Subsequent to the six-month reasonable and supportable forecast period described above, the Company reverts to using historical loss information on a straight-line basis over a three-month period. The Company may also consider other qualitative factors in estimating the allowance, as necessary. For the purposes of determining the allowance as of March 31, 2024, management considered qualitative factors such as the tightening of Vive's loan decisioning in mid-2022 and macroeconomic conditions associated with the impacts of increased inflation, unemployment rates, and/or the possibility of a recession in the United States. The allowance for loan losses is maintained at a level considered appropriate to cover expected future losses of principal, interest and fees on active loans in the loans receivable portfolio. The appropriateness of the allowance is evaluated at each period end. To the extent that actual results differ from estimates of uncollectible loans receivable, the Company's results of operations and liquidity may be materially affected.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Vive's delinquent loans receivable includes those that are 30 days or more past due based on their contractual billing dates. Vive's loans receivable are placed on nonaccrual status when they are greater than 90 days past due or upon notification of cardholder bankruptcy, death or fraud. The Company discontinues accruing interest and fees and amortizing merchant fee discounts and promotional fee discounts for Vive's loans receivable in nonaccrual status. Loans receivable are removed from nonaccrual status when cardholder payments resume, the loan becomes 90 days or less past due and collection of the remaining amounts outstanding is deemed probable. Payments received on nonaccrual loans are allocated according to the same payment hierarchy methodology applied to loans that are accruing interest. Loans receivable are charged off no later than the end of the following month after the billing cycle in which the loans receivable become 120 days past due.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 extends or declines credit to an applicant through its bank partners based upon the applicant's credit rating and other factors. Four extends or declines credit on an individual transaction basis using its proprietary decisioning platform, without using customer credit ratings. Four's credit risk exposure is limited by smaller transaction values and short loan duration. Below is a summary of the credit quality of the Company's loan portfolio as of March 31, 2024 and December 31, 2023 by FICO score as determined at the time of loan origination:</w:t>
      </w:r>
    </w:p>
    <w:tbl>
      <w:tblPr>
        <w:tblW w:w="5021" w:type="dxa"/>
        <w:jc w:val="left"/>
        <w:tblInd w:w="0" w:type="dxa"/>
        <w:tblLayout w:type="fixed"/>
        <w:tblCellMar>
          <w:top w:w="28" w:type="dxa"/>
          <w:left w:w="28" w:type="dxa"/>
          <w:bottom w:w="28" w:type="dxa"/>
          <w:right w:w="28" w:type="dxa"/>
        </w:tblCellMar>
      </w:tblPr>
      <w:tblGrid>
        <w:gridCol w:w="685"/>
        <w:gridCol w:w="601"/>
        <w:gridCol w:w="604"/>
        <w:gridCol w:w="279"/>
        <w:gridCol w:w="279"/>
        <w:gridCol w:w="701"/>
        <w:gridCol w:w="109"/>
        <w:gridCol w:w="109"/>
        <w:gridCol w:w="109"/>
        <w:gridCol w:w="314"/>
        <w:gridCol w:w="314"/>
        <w:gridCol w:w="917"/>
      </w:tblGrid>
      <w:tr>
        <w:trPr/>
        <w:tc>
          <w:tcPr>
            <w:tcW w:w="685"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FICO Score Category</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600 or Less</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600 and 700</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 or Greater</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8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Score Identified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left"/>
        <w:rPr>
          <w:rFonts w:ascii="Times New Roman;sans-serif" w:hAnsi="Times New Roman;sans-serif"/>
          <w:b/>
          <w:i/>
          <w:color w:val="000000"/>
          <w:sz w:val="20"/>
        </w:rPr>
      </w:pPr>
      <w:bookmarkStart w:id="7" w:name="if13bab249a6d42438f17cce25746dd45_33129"/>
      <w:bookmarkEnd w:id="7"/>
      <w:r>
        <w:rPr>
          <w:rFonts w:ascii="Times New Roman;sans-serif" w:hAnsi="Times New Roman;sans-serif"/>
          <w:b/>
          <w:i/>
          <w:color w:val="000000"/>
          <w:sz w:val="20"/>
        </w:rPr>
        <w:t>Prepaid Expenses and Other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 consist of the following:</w:t>
      </w:r>
    </w:p>
    <w:tbl>
      <w:tblPr>
        <w:tblW w:w="8637" w:type="dxa"/>
        <w:jc w:val="left"/>
        <w:tblInd w:w="0" w:type="dxa"/>
        <w:tblLayout w:type="fixed"/>
        <w:tblCellMar>
          <w:top w:w="28" w:type="dxa"/>
          <w:left w:w="28" w:type="dxa"/>
          <w:bottom w:w="28" w:type="dxa"/>
          <w:right w:w="28" w:type="dxa"/>
        </w:tblCellMar>
      </w:tblPr>
      <w:tblGrid>
        <w:gridCol w:w="1996"/>
        <w:gridCol w:w="1753"/>
        <w:gridCol w:w="1756"/>
        <w:gridCol w:w="255"/>
        <w:gridCol w:w="873"/>
        <w:gridCol w:w="132"/>
        <w:gridCol w:w="109"/>
        <w:gridCol w:w="109"/>
        <w:gridCol w:w="109"/>
        <w:gridCol w:w="300"/>
        <w:gridCol w:w="1026"/>
        <w:gridCol w:w="219"/>
      </w:tblGrid>
      <w:tr>
        <w:trPr/>
        <w:tc>
          <w:tcPr>
            <w:tcW w:w="1996"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175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16,923 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17,768 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Lease Merchandise</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Software Expenses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11,174 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8,624 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Initial Direct Costs on Lease Agreement Originations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48,974 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50,711 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incurs costs to implement cloud computing arrangements ("CCA") that are hosted by third-party vendors. Implementation costs associated with CCA are capitalized when incurred during the application development phase and are recorded within prepaid software expenses above. Amortization is calculated on a straight-line basis over the contractual term of the arrangement and is included within computer software expense as a component of operating expenses in the condensed consolidated statements of earnings. </w:t>
      </w:r>
    </w:p>
    <w:p>
      <w:pPr>
        <w:pStyle w:val="TextBody"/>
        <w:bidi w:val="0"/>
        <w:spacing w:lineRule="auto" w:line="288" w:before="180" w:after="283"/>
        <w:jc w:val="left"/>
        <w:rPr>
          <w:rFonts w:ascii="Times New Roman;sans-serif" w:hAnsi="Times New Roman;sans-serif"/>
          <w:b/>
          <w:i/>
          <w:color w:val="000000"/>
          <w:sz w:val="20"/>
        </w:rPr>
      </w:pPr>
      <w:bookmarkStart w:id="8" w:name="if13bab249a6d42438f17cce25746dd45_33276"/>
      <w:bookmarkEnd w:id="8"/>
      <w:r>
        <w:rPr>
          <w:rFonts w:ascii="Times New Roman;sans-serif" w:hAnsi="Times New Roman;sans-serif"/>
          <w:b/>
          <w:i/>
          <w:color w:val="000000"/>
          <w:sz w:val="20"/>
        </w:rPr>
        <w:t>Accounts Payable and Accrued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 consist of the following:</w:t>
      </w:r>
    </w:p>
    <w:tbl>
      <w:tblPr>
        <w:tblW w:w="6729" w:type="dxa"/>
        <w:jc w:val="left"/>
        <w:tblInd w:w="0" w:type="dxa"/>
        <w:tblLayout w:type="fixed"/>
        <w:tblCellMar>
          <w:top w:w="28" w:type="dxa"/>
          <w:left w:w="28" w:type="dxa"/>
          <w:bottom w:w="28" w:type="dxa"/>
          <w:right w:w="28" w:type="dxa"/>
        </w:tblCellMar>
      </w:tblPr>
      <w:tblGrid>
        <w:gridCol w:w="1305"/>
        <w:gridCol w:w="1145"/>
        <w:gridCol w:w="1149"/>
        <w:gridCol w:w="232"/>
        <w:gridCol w:w="908"/>
        <w:gridCol w:w="119"/>
        <w:gridCol w:w="109"/>
        <w:gridCol w:w="109"/>
        <w:gridCol w:w="109"/>
        <w:gridCol w:w="273"/>
        <w:gridCol w:w="1072"/>
        <w:gridCol w:w="199"/>
      </w:tblGrid>
      <w:tr>
        <w:trPr/>
        <w:tc>
          <w:tcPr>
            <w:tcW w:w="130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5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17,054 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20,237 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and Personal Property Taxes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 Payable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Uncertain Tax Positions</w:t>
            </w:r>
            <w:r>
              <w:rPr>
                <w:rFonts w:ascii="Times New Roman;sans-serif" w:hAnsi="Times New Roman;sans-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56,011 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54,995 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Vendor Rebates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 and Liabilities</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30,562 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139,843 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151,259 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6"/>
        </w:rPr>
        <w:t>The uncertain tax positions as of March 31, 2024 and December 31, 2023 are primarily related to the Company’s tax treatment of the $175.0 million settlement payment made in 2020 to the FTC as discussed in Note 9 to the consolidated financial statements in the 2023 Annual Report.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Debt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2020, the Company entered into a credit agreement with a consortium of lenders providing for a $350.0 million senior revolving credit facility (the "Revolving Facility"), under which revolving borrowings became available at the completion of the separation and distribution transaction through which the Company's historical Aaron's Business segment was spun-off into a separate company, and under which all borrowings and commitments will mature or terminate on November 24, 2025. The Company expects that the Revolving Facility will be used to provide for working capital and capital expenditures, to finance future permitted acquisitions, and for other general corporate purposes. If the Company's total net debt to EBITDA ratio as defined by the Revolving Facility exceeds 1.25, the Revolving Facility becomes fully secured for the remaining duration of the Revolving Facility term. As of June 30, 2022, the Company exceeded the 1.25 total net debt to EBITDA ratio and the Revolving Facility became fully secured. The Company had no outstanding borrowings and $350.0 million total available credit under the Revolving Facility as of March 31, 2024 and December 31, 2023.</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26, 2021, the Company entered into an indenture in connection with an offering of $600 million aggregate principal amount of its 6.00% senior unsecured notes due 2029 (the "Senior Notes"). The Senior Notes were issued at 100% of their par value. The Senior Notes are general unsecured obligations of the Company and are guaranteed by certain of the Company’s existing and future domestic subsidiaries.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Senior Notes were used to fund the purchase price, and related fees and expenses, of the Company’s tender offer to purchase $425 million of the Company’s common stock as discussed in Note 12 to the consolidated financial statements in the 2023 Annual Report. Any remaining proceeds were intended for future share repurchases or, to the extent the Company determines not to repurchase additional shares, for general corporate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was in compliance with all covenants related to its outstanding debt. See Note 8 to the consolidated financial statements in the 2023 Annual Report for further information regarding the Company's indebtedness.</w:t>
      </w:r>
    </w:p>
    <w:p>
      <w:pPr>
        <w:pStyle w:val="TextBody"/>
        <w:bidi w:val="0"/>
        <w:spacing w:lineRule="auto" w:line="288" w:before="180" w:after="283"/>
        <w:jc w:val="left"/>
        <w:rPr>
          <w:rFonts w:ascii="Times New Roman;sans-serif" w:hAnsi="Times New Roman;sans-serif"/>
          <w:b/>
          <w:i/>
          <w:color w:val="000000"/>
          <w:sz w:val="20"/>
        </w:rPr>
      </w:pPr>
      <w:bookmarkStart w:id="9" w:name="if13bab249a6d42438f17cce25746dd45_33206"/>
      <w:bookmarkEnd w:id="9"/>
      <w:r>
        <w:rPr>
          <w:rFonts w:ascii="Times New Roman;sans-serif" w:hAnsi="Times New Roman;sans-serif"/>
          <w:b/>
          <w:i/>
          <w:color w:val="000000"/>
          <w:sz w:val="20"/>
        </w:rPr>
        <w:t>Goodwill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represents the excess of the purchase price paid over the fair value of the identifiable net tangible and intangible assets acquired in connection with business acquisitions. Progressive Leasing and Four are the only reporting units with goodwill as of March 31, 2024. Impairment occurs when the reporting unit's carrying value exceeds its fair value. The Company’s goodwill is not amortized but is subject to an impairment test at the reporting unit level annually as of October 1 and more frequently if events or circumstances indicate that an impairment may have occurred. Factors which could necessitate an interim impairment assessment include a sustained decline in the Company’s stock price, prolonged negative industry or economic trends and significant underperformance relative to historical results, projected future operating results, or the Company failing to successfully execute on one or more elements of Progressive Leasing and/or Four's strategic plans.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completed qualitative assessments for its annual goodwill impairment test for both Progressive Leasing and Four as of October 1, 2023. The qualitative assessments did not present any indicators of impairment and the Company concluded that no impairment had occurred. The Company determined that there were no events or circumstances that occurred during the three months ended March 31, 2024 that would more likely than not reduce the fair value of Progressive Leasing or Four below their carrying amounts.</w:t>
      </w:r>
    </w:p>
    <w:p>
      <w:pPr>
        <w:pStyle w:val="TextBody"/>
        <w:bidi w:val="0"/>
        <w:spacing w:lineRule="auto" w:line="288" w:before="180" w:after="283"/>
        <w:jc w:val="left"/>
        <w:rPr>
          <w:rFonts w:ascii="Times New Roman;sans-serif" w:hAnsi="Times New Roman;sans-serif"/>
          <w:b/>
          <w:i/>
          <w:color w:val="000000"/>
          <w:sz w:val="20"/>
        </w:rPr>
      </w:pPr>
      <w:bookmarkStart w:id="10" w:name="if13bab249a6d42438f17cce25746dd45_33176"/>
      <w:bookmarkEnd w:id="10"/>
      <w:r>
        <w:rPr>
          <w:rFonts w:ascii="Times New Roman;sans-serif" w:hAnsi="Times New Roman;sans-serif"/>
          <w:b/>
          <w:i/>
          <w:color w:val="000000"/>
          <w:sz w:val="20"/>
        </w:rPr>
        <w:t>Shareholders' Equity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shareholders' equity for the three months ended March 31, 2024 and 2023 are as follows:</w:t>
      </w:r>
    </w:p>
    <w:tbl>
      <w:tblPr>
        <w:tblW w:w="10317" w:type="dxa"/>
        <w:jc w:val="left"/>
        <w:tblInd w:w="0" w:type="dxa"/>
        <w:tblLayout w:type="fixed"/>
        <w:tblCellMar>
          <w:top w:w="28" w:type="dxa"/>
          <w:left w:w="28" w:type="dxa"/>
          <w:bottom w:w="28" w:type="dxa"/>
          <w:right w:w="28" w:type="dxa"/>
        </w:tblCellMar>
      </w:tblPr>
      <w:tblGrid>
        <w:gridCol w:w="576"/>
        <w:gridCol w:w="282"/>
        <w:gridCol w:w="283"/>
        <w:gridCol w:w="330"/>
        <w:gridCol w:w="331"/>
        <w:gridCol w:w="196"/>
        <w:gridCol w:w="109"/>
        <w:gridCol w:w="109"/>
        <w:gridCol w:w="109"/>
        <w:gridCol w:w="196"/>
        <w:gridCol w:w="886"/>
        <w:gridCol w:w="109"/>
        <w:gridCol w:w="109"/>
        <w:gridCol w:w="109"/>
        <w:gridCol w:w="109"/>
        <w:gridCol w:w="323"/>
        <w:gridCol w:w="323"/>
        <w:gridCol w:w="196"/>
        <w:gridCol w:w="109"/>
        <w:gridCol w:w="109"/>
        <w:gridCol w:w="109"/>
        <w:gridCol w:w="196"/>
        <w:gridCol w:w="646"/>
        <w:gridCol w:w="109"/>
        <w:gridCol w:w="109"/>
        <w:gridCol w:w="109"/>
        <w:gridCol w:w="109"/>
        <w:gridCol w:w="196"/>
        <w:gridCol w:w="736"/>
        <w:gridCol w:w="109"/>
        <w:gridCol w:w="109"/>
        <w:gridCol w:w="109"/>
        <w:gridCol w:w="109"/>
        <w:gridCol w:w="196"/>
        <w:gridCol w:w="871"/>
        <w:gridCol w:w="109"/>
        <w:gridCol w:w="109"/>
        <w:gridCol w:w="109"/>
        <w:gridCol w:w="109"/>
        <w:gridCol w:w="208"/>
        <w:gridCol w:w="783"/>
        <w:gridCol w:w="165"/>
      </w:tblGrid>
      <w:tr>
        <w:trPr/>
        <w:tc>
          <w:tcPr>
            <w:tcW w:w="57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2023</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(38,405)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(1,095,202)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352,421 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1,293,073 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591,331 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Dividends, $0.12 per share</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(5,337)</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6,689 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Reissued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(24,490)</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2024</w:t>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(38,905)</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(1,112,301)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1,309,702 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585,090 </w:t>
            </w:r>
          </w:p>
        </w:tc>
        <w:tc>
          <w:tcPr>
            <w:tcW w:w="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577"/>
        <w:gridCol w:w="285"/>
        <w:gridCol w:w="286"/>
        <w:gridCol w:w="330"/>
        <w:gridCol w:w="331"/>
        <w:gridCol w:w="196"/>
        <w:gridCol w:w="109"/>
        <w:gridCol w:w="109"/>
        <w:gridCol w:w="109"/>
        <w:gridCol w:w="196"/>
        <w:gridCol w:w="751"/>
        <w:gridCol w:w="109"/>
        <w:gridCol w:w="109"/>
        <w:gridCol w:w="109"/>
        <w:gridCol w:w="109"/>
        <w:gridCol w:w="323"/>
        <w:gridCol w:w="323"/>
        <w:gridCol w:w="196"/>
        <w:gridCol w:w="109"/>
        <w:gridCol w:w="109"/>
        <w:gridCol w:w="109"/>
        <w:gridCol w:w="196"/>
        <w:gridCol w:w="646"/>
        <w:gridCol w:w="109"/>
        <w:gridCol w:w="109"/>
        <w:gridCol w:w="109"/>
        <w:gridCol w:w="109"/>
        <w:gridCol w:w="196"/>
        <w:gridCol w:w="737"/>
        <w:gridCol w:w="109"/>
        <w:gridCol w:w="109"/>
        <w:gridCol w:w="109"/>
        <w:gridCol w:w="109"/>
        <w:gridCol w:w="196"/>
        <w:gridCol w:w="872"/>
        <w:gridCol w:w="109"/>
        <w:gridCol w:w="109"/>
        <w:gridCol w:w="109"/>
        <w:gridCol w:w="109"/>
        <w:gridCol w:w="209"/>
        <w:gridCol w:w="788"/>
        <w:gridCol w:w="173"/>
      </w:tblGrid>
      <w:tr>
        <w:trPr/>
        <w:tc>
          <w:tcPr>
            <w:tcW w:w="57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1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December 31, 2022</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(34,044)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1,154,235 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Reissued Shares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Repurchased Shares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(36,769)</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Earnings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48,033 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March 31, 2023</w:t>
            </w:r>
          </w:p>
        </w:tc>
        <w:tc>
          <w:tcPr>
            <w:tcW w:w="6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(35,337)</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(995,618)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82,079 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337,103 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1,202,268 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584,792 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00" w:after="283"/>
        <w:jc w:val="left"/>
        <w:rPr/>
      </w:pPr>
      <w:r>
        <w:rPr>
          <w:rFonts w:ascii="Times New Roman;sans-serif" w:hAnsi="Times New Roman;sans-serif"/>
          <w:b w:val="false"/>
          <w:color w:val="000000"/>
          <w:sz w:val="20"/>
        </w:rPr>
        <w:t xml:space="preserve">During the three months ended March 31, 2024, the Company issued 547,706 restricted stock units and 270,336 performance share units to certain employees, which vest over one to three-year periods for certain units and upon the achievement of specified performance conditions for other units. The weighted average fair value of the restricted stock and performance share awards was $29.41, which was based on the fair market value of the Company’s common stock on the dates of grant. The Company also issued 125,452 performance share units which may be earned after a three-year vesting period by achieving specified levels of total shareholder return ("TSR") of the Company’s common stock relative to the TSR of the S&amp;P 600 Small Cap Index. The fair value of the TSR performance share units was $40.23, which was based on a grant date value using a Monte Carlo simulation model. The Company will recognize the grant date fair value of the restricted stock units and TSR performance share units as stock-based compensation expense over the requisite service period of one to three years. The Company will recognize the grant date fair value of the performance units as stock-based compensation expense over the estimated vesting period based on the Company's projected assessment of the performance conditions that are probable of being achieved in accordance with ASC 718, </w:t>
      </w:r>
      <w:r>
        <w:rPr>
          <w:rFonts w:ascii="Times New Roman;sans-serif" w:hAnsi="Times New Roman;sans-serif"/>
          <w:b w:val="false"/>
          <w:i/>
          <w:color w:val="000000"/>
          <w:sz w:val="20"/>
        </w:rPr>
        <w:t>Stock-based Compensation</w:t>
      </w:r>
      <w:r>
        <w:rPr>
          <w:rFonts w:ascii="Times New Roman;sans-serif" w:hAnsi="Times New Roman;sans-serif"/>
          <w:b w:val="false"/>
          <w:color w:val="000000"/>
          <w:sz w:val="20"/>
        </w:rPr>
        <w: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Cybersecurity Incident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incurred $0.1 million for costs related to the cybersecurity incident, resulting in aggregate expenses of $2.9 million since the incident occurred. These costs related primarily to third-party legal and consulting services and credit monitoring services for Progressive Leasing's customers and employees that were impacted. Those costs are included within professional services expense as a component of operating expenses in the condensed consolidated statements of earnings. At March 31, 2024, the Company had $0.4 million accrued for costs related to the cybersecurity incident, which are included in accounts payable and accrued expenses in the condensed consolidated balance sheets.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is defined as the price that would be received to sell an asset or paid to transfer a liability in an orderly transaction between market participants at the measurement date. To increase the comparability of fair value measures, the following hierarchy prioritizes the inputs to valuation methodologies used to measure fair value: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Level 1—Valuations based on quoted prices for identical assets and liabilities in active markets.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2—Valuations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Level 3—Valuations based on unobservable inputs reflecting the Company's own assumptions, consistent with reasonably available assumptions made by other market participants. These valuations require significant judgment.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 liability related to its non-qualified deferred compensation plan, which represents benefits accrued for plan participants and is valued at the quoted market prices of the participants' investment election, at fair value on a recurring basis. The Company maintains certain financial assets and liabilities that are not measured at fair value but for which fair value is disclosed.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other current financial assets and liabilities, including cash and cash equivalents, accounts receivable and accounts payable, approximate their carrying values due to their short-term nature.</w:t>
      </w:r>
    </w:p>
    <w:p>
      <w:pPr>
        <w:pStyle w:val="TextBody"/>
        <w:bidi w:val="0"/>
        <w:spacing w:lineRule="auto" w:line="288" w:before="180" w:after="283"/>
        <w:jc w:val="left"/>
        <w:rPr>
          <w:rFonts w:ascii="Times New Roman;sans-serif" w:hAnsi="Times New Roman;sans-serif"/>
          <w:b/>
          <w:i/>
          <w:color w:val="000000"/>
          <w:sz w:val="20"/>
        </w:rPr>
      </w:pPr>
      <w:bookmarkStart w:id="11" w:name="if13bab249a6d42438f17cce25746dd45_33271"/>
      <w:bookmarkEnd w:id="11"/>
      <w:r>
        <w:rPr>
          <w:rFonts w:ascii="Times New Roman;sans-serif" w:hAnsi="Times New Roman;sans-serif"/>
          <w:b/>
          <w:i/>
          <w:color w:val="000000"/>
          <w:sz w:val="20"/>
        </w:rPr>
        <w:t>Recent Accounting Pronouncements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 accounting pronouncements issued which are expected to have a material effect on the Company's financial statements. Management continues to monitor and review recently issued accounting guidance upon issuance.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2. FAIR VALUE MEASUREMENT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Measured at Fair Value on a Recurring Basis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financial liabilities measured at fair value on a recurring basis:</w:t>
      </w:r>
    </w:p>
    <w:tbl>
      <w:tblPr>
        <w:tblW w:w="9262" w:type="dxa"/>
        <w:jc w:val="left"/>
        <w:tblInd w:w="0" w:type="dxa"/>
        <w:tblLayout w:type="fixed"/>
        <w:tblCellMar>
          <w:top w:w="28" w:type="dxa"/>
          <w:left w:w="28" w:type="dxa"/>
          <w:bottom w:w="28" w:type="dxa"/>
          <w:right w:w="28" w:type="dxa"/>
        </w:tblCellMar>
      </w:tblPr>
      <w:tblGrid>
        <w:gridCol w:w="1016"/>
        <w:gridCol w:w="893"/>
        <w:gridCol w:w="897"/>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0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8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28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Liability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maintains the PROG Holdings, Inc. Deferred Compensation Plan, which is an unfunded, nonqualified deferred compensation plan for a select group of management, highly compensated employees and non-employee directors. The liability is recorded in accounts payable and accrued expenses in the condensed consolidated balance sheets. The liability represents benefits accrued for plan participants and is valued at the quoted market prices of the participants’ investment elections, which consist of equity and debt "mirror" funds. As such, the Company has classified the deferred compensation liability as a Level 2 liability.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 and Liabilities Not Measured at Fair Value for Which Fair Value is Disclosed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Vive's loans receivable are measured at amortized cost, net of an allowance for loan losses and unamortized fees in the condensed consolidated balance sheets. In estimating fair value for Vive's loans receivable, the Company utilized a discounted cash flow methodology. The Company used various unobservable inputs reflecting its own assumptions, such as contractual future principal and interest cash flows, future loss rates, and discount rates (which consider current interest rates and are adjusted for credit risk, among other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Four's loans receivable, net of an allowance for loan losses and unamortized fees, are included within loans receivable, net in the condensed consolidated balance sheets and approximated fair value based on a discounted cash flow methodology.</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26, 2021, the Company entered into an indenture in connection with its offering of $600 million aggregate principal amount of its Senior Notes due in 2029. The Senior Notes are carried at amortized cost in the condensed consolidated balance sheets and are measured at fair value for disclosure purposes. The fair value of the Senior Notes was estimated based on quoted market prices in less active markets and has been classified as Level 2 in the fair value hierarchy.</w:t>
      </w:r>
    </w:p>
    <w:p>
      <w:pPr>
        <w:pStyle w:val="TextBody"/>
        <w:bidi w:val="0"/>
        <w:spacing w:lineRule="auto" w:line="288" w:before="100" w:after="283"/>
        <w:jc w:val="left"/>
        <w:rPr/>
      </w:pPr>
      <w:r>
        <w:rPr>
          <w:rFonts w:ascii="Times New Roman;sans-serif" w:hAnsi="Times New Roman;sans-serif"/>
          <w:b w:val="false"/>
          <w:color w:val="000000"/>
          <w:sz w:val="20"/>
        </w:rPr>
        <w:t>The following table summarizes the fair value of the Company's debt and the loans receivable held by Vive and Four:</w:t>
      </w:r>
      <w:r>
        <w:rPr>
          <w:color w:val="000000"/>
        </w:rPr>
        <w:t> </w:t>
      </w:r>
    </w:p>
    <w:tbl>
      <w:tblPr>
        <w:tblW w:w="9666" w:type="dxa"/>
        <w:jc w:val="left"/>
        <w:tblInd w:w="0" w:type="dxa"/>
        <w:tblLayout w:type="fixed"/>
        <w:tblCellMar>
          <w:top w:w="28" w:type="dxa"/>
          <w:left w:w="28" w:type="dxa"/>
          <w:bottom w:w="28" w:type="dxa"/>
          <w:right w:w="28" w:type="dxa"/>
        </w:tblCellMar>
      </w:tblPr>
      <w:tblGrid>
        <w:gridCol w:w="707"/>
        <w:gridCol w:w="621"/>
        <w:gridCol w:w="622"/>
        <w:gridCol w:w="211"/>
        <w:gridCol w:w="406"/>
        <w:gridCol w:w="109"/>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09"/>
        <w:gridCol w:w="109"/>
        <w:gridCol w:w="109"/>
        <w:gridCol w:w="109"/>
        <w:gridCol w:w="211"/>
        <w:gridCol w:w="826"/>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6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3. LOANS RECEIVABLE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loans receivable, net:</w:t>
      </w:r>
    </w:p>
    <w:tbl>
      <w:tblPr>
        <w:tblW w:w="8200" w:type="dxa"/>
        <w:jc w:val="left"/>
        <w:tblInd w:w="0" w:type="dxa"/>
        <w:tblLayout w:type="fixed"/>
        <w:tblCellMar>
          <w:top w:w="28" w:type="dxa"/>
          <w:left w:w="28" w:type="dxa"/>
          <w:bottom w:w="28" w:type="dxa"/>
          <w:right w:w="28" w:type="dxa"/>
        </w:tblCellMar>
      </w:tblPr>
      <w:tblGrid>
        <w:gridCol w:w="1839"/>
        <w:gridCol w:w="1613"/>
        <w:gridCol w:w="1618"/>
        <w:gridCol w:w="232"/>
        <w:gridCol w:w="908"/>
        <w:gridCol w:w="119"/>
        <w:gridCol w:w="109"/>
        <w:gridCol w:w="109"/>
        <w:gridCol w:w="109"/>
        <w:gridCol w:w="273"/>
        <w:gridCol w:w="1072"/>
        <w:gridCol w:w="199"/>
      </w:tblGrid>
      <w:tr>
        <w:trPr/>
        <w:tc>
          <w:tcPr>
            <w:tcW w:w="1839"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5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Gross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176,845 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Unamortized Fees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(9,402)</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Loans Receivable, Amortized Cost</w:t>
            </w:r>
          </w:p>
        </w:tc>
        <w:tc>
          <w:tcPr>
            <w:tcW w:w="11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167,443 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Allowance for Loan Losses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(40,620)</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Loans Receivable, Net of Allowances and Unamortized Fees</w:t>
            </w:r>
            <w:r>
              <w:rPr>
                <w:rFonts w:ascii="Times New Roman;sans-serif" w:hAnsi="Times New Roman;sans-serif"/>
                <w:b w:val="false"/>
                <w:color w:val="000000"/>
                <w:sz w:val="13"/>
              </w:rPr>
              <w:t>1</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117,928 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126,823 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Loans Receivable, Net of Allowances and Unamortized Fees, attributable to Four was $10.3 million and $13.9 million as of March 31, 2024 and December 31, 2023, respectively.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credit quality indicators of the amortized cost of the Company's loans receivable by origination year:</w:t>
      </w:r>
    </w:p>
    <w:tbl>
      <w:tblPr>
        <w:tblW w:w="10205" w:type="dxa"/>
        <w:jc w:val="center"/>
        <w:tblInd w:w="0" w:type="dxa"/>
        <w:tblLayout w:type="fixed"/>
        <w:tblCellMar>
          <w:top w:w="28" w:type="dxa"/>
          <w:left w:w="28" w:type="dxa"/>
          <w:bottom w:w="28" w:type="dxa"/>
          <w:right w:w="28" w:type="dxa"/>
        </w:tblCellMar>
      </w:tblPr>
      <w:tblGrid>
        <w:gridCol w:w="1359"/>
        <w:gridCol w:w="1103"/>
        <w:gridCol w:w="1108"/>
        <w:gridCol w:w="211"/>
        <w:gridCol w:w="721"/>
        <w:gridCol w:w="109"/>
        <w:gridCol w:w="109"/>
        <w:gridCol w:w="109"/>
        <w:gridCol w:w="109"/>
        <w:gridCol w:w="211"/>
        <w:gridCol w:w="616"/>
        <w:gridCol w:w="109"/>
        <w:gridCol w:w="109"/>
        <w:gridCol w:w="109"/>
        <w:gridCol w:w="109"/>
        <w:gridCol w:w="272"/>
        <w:gridCol w:w="523"/>
        <w:gridCol w:w="140"/>
        <w:gridCol w:w="109"/>
        <w:gridCol w:w="109"/>
        <w:gridCol w:w="109"/>
        <w:gridCol w:w="224"/>
        <w:gridCol w:w="880"/>
        <w:gridCol w:w="115"/>
        <w:gridCol w:w="109"/>
        <w:gridCol w:w="109"/>
        <w:gridCol w:w="109"/>
        <w:gridCol w:w="211"/>
        <w:gridCol w:w="826"/>
        <w:gridCol w:w="159"/>
      </w:tblGrid>
      <w:tr>
        <w:trPr/>
        <w:tc>
          <w:tcPr>
            <w:tcW w:w="135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2024 (In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 and Prior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Revolving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FICO Score Category:</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600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Between 600 and 700</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114,187 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700 or Greater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17,280 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Score Identified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Amortized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141,997 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Charge-offs by Origination Year for the Three Months Ended March 31, 2024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Included in the table below is an aging of the loans receivable, gross balance:</w:t>
      </w:r>
    </w:p>
    <w:tbl>
      <w:tblPr>
        <w:tblW w:w="10205" w:type="dxa"/>
        <w:jc w:val="left"/>
        <w:tblInd w:w="0" w:type="dxa"/>
        <w:tblLayout w:type="fixed"/>
        <w:tblCellMar>
          <w:top w:w="28" w:type="dxa"/>
          <w:left w:w="28" w:type="dxa"/>
          <w:bottom w:w="28" w:type="dxa"/>
          <w:right w:w="28" w:type="dxa"/>
        </w:tblCellMar>
      </w:tblPr>
      <w:tblGrid>
        <w:gridCol w:w="2597"/>
        <w:gridCol w:w="2265"/>
        <w:gridCol w:w="2273"/>
        <w:gridCol w:w="238"/>
        <w:gridCol w:w="696"/>
        <w:gridCol w:w="306"/>
        <w:gridCol w:w="109"/>
        <w:gridCol w:w="109"/>
        <w:gridCol w:w="109"/>
        <w:gridCol w:w="276"/>
        <w:gridCol w:w="808"/>
        <w:gridCol w:w="419"/>
      </w:tblGrid>
      <w:tr>
        <w:trPr/>
        <w:tc>
          <w:tcPr>
            <w:tcW w:w="2597"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(Dollar Amounts in Thousands)</w:t>
            </w:r>
          </w:p>
        </w:tc>
        <w:tc>
          <w:tcPr>
            <w:tcW w:w="1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Aging Category</w:t>
            </w:r>
          </w:p>
        </w:tc>
        <w:tc>
          <w:tcPr>
            <w:tcW w:w="12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1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30-59 Days Past Due</w:t>
            </w:r>
          </w:p>
        </w:tc>
        <w:tc>
          <w:tcPr>
            <w:tcW w:w="9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60-89 Days Past Due</w:t>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90 or More Days Past Due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Past Due Loans Receivable</w:t>
            </w:r>
          </w:p>
        </w:tc>
        <w:tc>
          <w:tcPr>
            <w:tcW w:w="9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3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Loans Receivable</w:t>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7135"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3" w:type="dxa"/>
            <w:gridSpan w:val="3"/>
            <w:tcBorders/>
            <w:vAlign w:val="center"/>
          </w:tcPr>
          <w:p>
            <w:pPr>
              <w:pStyle w:val="TableContents"/>
              <w:bidi w:val="0"/>
              <w:spacing w:before="0" w:after="283"/>
              <w:jc w:val="left"/>
              <w:rPr>
                <w:sz w:val="4"/>
                <w:szCs w:val="4"/>
              </w:rPr>
            </w:pPr>
            <w:r>
              <w:rPr>
                <w:sz w:val="4"/>
                <w:szCs w:val="4"/>
              </w:rPr>
            </w:r>
          </w:p>
        </w:tc>
      </w:tr>
      <w:tr>
        <w:trPr/>
        <w:tc>
          <w:tcPr>
            <w:tcW w:w="7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of Credit Card Loans on Nonaccrual Status</w:t>
            </w:r>
          </w:p>
        </w:tc>
        <w:tc>
          <w:tcPr>
            <w:tcW w:w="23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4,359 </w:t>
            </w:r>
          </w:p>
        </w:tc>
        <w:tc>
          <w:tcPr>
            <w:tcW w:w="30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4,482 </w:t>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of Loans Receivable Greater than 90 Days Past Due and Still Accruing Interest and Fees</w:t>
            </w:r>
          </w:p>
        </w:tc>
        <w:tc>
          <w:tcPr>
            <w:tcW w:w="23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1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the components of the allowance for loan losses:</w:t>
      </w:r>
    </w:p>
    <w:tbl>
      <w:tblPr>
        <w:tblW w:w="5110" w:type="dxa"/>
        <w:jc w:val="center"/>
        <w:tblInd w:w="0" w:type="dxa"/>
        <w:tblLayout w:type="fixed"/>
        <w:tblCellMar>
          <w:top w:w="28" w:type="dxa"/>
          <w:left w:w="28" w:type="dxa"/>
          <w:bottom w:w="28" w:type="dxa"/>
          <w:right w:w="28" w:type="dxa"/>
        </w:tblCellMar>
      </w:tblPr>
      <w:tblGrid>
        <w:gridCol w:w="805"/>
        <w:gridCol w:w="706"/>
        <w:gridCol w:w="709"/>
        <w:gridCol w:w="211"/>
        <w:gridCol w:w="721"/>
        <w:gridCol w:w="109"/>
        <w:gridCol w:w="109"/>
        <w:gridCol w:w="109"/>
        <w:gridCol w:w="109"/>
        <w:gridCol w:w="211"/>
        <w:gridCol w:w="721"/>
        <w:gridCol w:w="109"/>
        <w:gridCol w:w="109"/>
        <w:gridCol w:w="109"/>
        <w:gridCol w:w="109"/>
        <w:gridCol w:w="154"/>
      </w:tblGrid>
      <w:tr>
        <w:trPr/>
        <w:tc>
          <w:tcPr>
            <w:tcW w:w="80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Balance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4. COMMITMENTS AND CONTINGENCIES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Legal and Regulatory Proceedings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party to various legal and regulatory proceedings arising in the ordinary course of business.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Some of the proceedings to which the Company is currently a party are described below. The Company believes it has meritorious defenses to all of the claims described below, and intends to vigorously defend against the claims. However, these proceedings are still developing and due to the inherent uncertainty in litigation, regulatory and similar adversarial proceedings, there can be no guarantee that the Company will ultimately be successful in these proceedings, or in others to which it is currently a party. Substantial losses from these proceedings or the costs of defending them could have a material adverse impact upon the Company’s business, financial position and results of operations.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establishes an accrued liability for legal and regulatory proceedings when it determines that a loss is both probable and the amount of the loss can be reasonably estimated. The Company continually monitors its litigation and regulatory exposure and reviews the adequacy of its legal and regulatory reserves on a quarterly basis. The amount of any loss ultimately incurred in relation to matters for which an accrual has been established may be higher or lower than the amounts accrued for such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2024 and December 31, 2023, the Company had accrued $0.2 million and $1.2 million, respectively, for pending legal and regulatory matters for which it believes losses are probable and the amount of the loss can be reasonably estimated. The Company records its best estimate of the loss to legal and regulatory liabilities in accounts payable and accrued expenses in the condensed consolidated balance sheets. The Company estimates the aggregate range of reasonably possible loss in excess of accrued liabilities for such probable loss contingencies is immaterial. Those matters for which a probable loss cannot be reasonably estimated are not included within the estimated ranges.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March 31, 2024, the Company estimated that the aggregate range of loss for all material pending legal and regulatory proceedings for which a loss is reasonably possible, but less likely than probable (i.e., excluding the contingencies described in the preceding paragraph), is immaterial. Those matters for which a reasonable estimate is not possible are not included within estimated ranges and, therefore, the estimated ranges do not represent the Company's maximum loss exposure. The Company’s estimates for legal and regulatory accruals, aggregate probable loss amounts and reasonably possible loss amounts are all subject to the uncertainties and variables described above.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Regulatory Inquiries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the Company, along with other lease-to-own companies, received a subpoena from the California Department of Financial Protection and Innovation (the "DFPI") requesting the production of documents regarding the Company’s compliance with state consumer protection laws, including new legislation that went into effect on January 1, 2021. Although the Company believes it is in compliance with all applicable consumer financial laws and regulations in California, this inquiry may lead to an enforcement action and/or a consent order, and substantial costs, including legal fees, fines, penalties, and remediation expenses. While the Company intends to preserve defenses surrounding the jurisdiction of DFPI in this matter, it has fully cooperated, and anticipates continuing to cooperate, with the DFPI in responding to its inquiry.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25, 2022, the Pennsylvania Attorney General filed a complaint against Progressive Leasing in the Philadelphia County Court of Common Pleas alleging, among other things, that Progressive Leasing was operating in the Commonwealth of Pennsylvania in violation of the Pennsylvania Rental Purchase Agreement Act by failing to disclose certain terms and conditions of rent-to-own ("RTO") transactions on "hang tags" physically attached to RTO merchandise. Although Progressive Leasing believed the Pennsylvania Attorney General's claims were without merit, it entered into a settlement agreement with the Attorney General in January 2024, pursuant to which the Attorney General agreed to release its claims against Progressive Leasing. The Court approved the settlement on January 26, 2024 resulting in a $1.0 million settlement, which was paid by the Company during the first quarter of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also took a number of additional measures to demonstrate its continued support and commitment to data privacy and protection. The investigation is nearly complete and the Company believes it has a full view of the compromised data.</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cybersecurity incident, Progressive Leasing has become subject to multiple lawsuits which allege, among other things, the incurrence of various types of damages arising out of the incident. As of the date of this Form 10-Q, all of these lawsuits have been consolidated into a single action in the United States District Court for the District of Utah (the "District Court") and the plaintiffs filed a consolidated complaint on April 19,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 intends to vigorously defend itself against the lawsuit; however, at this time, the Company is unable to determine or predict the outcome of this lawsuit or reasonably provide an estimate or range of the possible losses, if any. The Company also maintains cybersecurity insurance coverage, subject to a $1.0 million retention, to limit the exposure to losses such as those related to the cybersecurity incident and lawsuits stemming therefrom; however, there can be no assurance that such insurance coverage will be adequate to cover all of the losses, costs and expenses related thereto or that the insurers will agree to cover such losses, costs and expenses.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Contingencies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regularly assesses the Company’s insurance deductibles, monitors the Company's litigation and regulatory exposure with the Company's attorneys and evaluates its loss experience. The Company also enters into various contracts in the normal course of business that may subject it to risk of financial loss if counterparties fail to perform their contractual obligations.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Off-Balance Sheet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through its Vive segment, had unconditionally cancellable unfunded lending commitments totaling $527.4 million and $523.9 million as of March 31, 2024 and December 31, 2023,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5. RESTRUCTURING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2022, the Company initiated restructuring activities intended to reduce expenses, consolidate certain segment corporate headquarters, and align the cost structure of the business with the Company's near-term revenue outlook. The Company continued such activities during the period and recorded restructuring expenses of $18.0 million during the three months ended March 31, 2024, resulting in aggregate expenses of $39.5 million since the inception of the restructuring activities in 2022. These costs were primarily comprised of early contract termination costs related to certain independent sales agreements, employee severance within Progressive Leasing, and operating lease right-of-use asset impairment charges related to the relocation of the Vive corporate headquarters to the Company's corporate office building and a reduction of management and information technology space. The Company will continue to monitor the impacts of changes in macroeconomic conditions on its businesses and may take additional steps to further adjust the Company's cost structure based on unfavorable changes in these conditions, which may result in further restructuring charges in future periods.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summarize restructuring charges recorded within operating expenses in the condensed consolidated statements of earnings for the three months ended March 31, 2024 and 2023: </w:t>
      </w:r>
    </w:p>
    <w:tbl>
      <w:tblPr>
        <w:tblW w:w="7157" w:type="dxa"/>
        <w:jc w:val="left"/>
        <w:tblInd w:w="0" w:type="dxa"/>
        <w:tblLayout w:type="fixed"/>
        <w:tblCellMar>
          <w:top w:w="28" w:type="dxa"/>
          <w:left w:w="28" w:type="dxa"/>
          <w:bottom w:w="28" w:type="dxa"/>
          <w:right w:w="28" w:type="dxa"/>
        </w:tblCellMar>
      </w:tblPr>
      <w:tblGrid>
        <w:gridCol w:w="1115"/>
        <w:gridCol w:w="978"/>
        <w:gridCol w:w="982"/>
        <w:gridCol w:w="313"/>
        <w:gridCol w:w="1070"/>
        <w:gridCol w:w="161"/>
        <w:gridCol w:w="211"/>
        <w:gridCol w:w="406"/>
        <w:gridCol w:w="109"/>
        <w:gridCol w:w="211"/>
        <w:gridCol w:w="406"/>
        <w:gridCol w:w="109"/>
        <w:gridCol w:w="211"/>
        <w:gridCol w:w="721"/>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Right-of-Use Asset Impairment</w:t>
            </w:r>
            <w:r>
              <w:rPr>
                <w:rFonts w:ascii="Times New Roman;sans-serif" w:hAnsi="Times New Roman;sans-serif"/>
                <w:b w:val="false"/>
                <w:color w:val="000000"/>
                <w:sz w:val="13"/>
              </w:rPr>
              <w:t>1</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Impairment</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Early Contract Termination Costs</w:t>
            </w:r>
          </w:p>
        </w:tc>
        <w:tc>
          <w:tcPr>
            <w:tcW w:w="13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Activities</w:t>
            </w:r>
          </w:p>
        </w:tc>
        <w:tc>
          <w:tcPr>
            <w:tcW w:w="13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Expenses</w:t>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To determine the amount of impairment for vacated office space, the fair value of the ROU asset is calculated based on the present value of the estimated net cash flows related to asset.</w:t>
      </w:r>
    </w:p>
    <w:tbl>
      <w:tblPr>
        <w:tblW w:w="6392" w:type="dxa"/>
        <w:jc w:val="left"/>
        <w:tblInd w:w="0" w:type="dxa"/>
        <w:tblLayout w:type="fixed"/>
        <w:tblCellMar>
          <w:top w:w="28" w:type="dxa"/>
          <w:left w:w="28" w:type="dxa"/>
          <w:bottom w:w="28" w:type="dxa"/>
          <w:right w:w="28" w:type="dxa"/>
        </w:tblCellMar>
      </w:tblPr>
      <w:tblGrid>
        <w:gridCol w:w="1008"/>
        <w:gridCol w:w="777"/>
        <w:gridCol w:w="779"/>
        <w:gridCol w:w="413"/>
        <w:gridCol w:w="915"/>
        <w:gridCol w:w="217"/>
        <w:gridCol w:w="211"/>
        <w:gridCol w:w="406"/>
        <w:gridCol w:w="109"/>
        <w:gridCol w:w="211"/>
        <w:gridCol w:w="406"/>
        <w:gridCol w:w="109"/>
        <w:gridCol w:w="211"/>
        <w:gridCol w:w="466"/>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Severance</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Restructuring Activities</w:t>
            </w:r>
          </w:p>
        </w:tc>
        <w:tc>
          <w:tcPr>
            <w:tcW w:w="13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Restructuring Expenses</w:t>
            </w:r>
          </w:p>
        </w:tc>
        <w:tc>
          <w:tcPr>
            <w:tcW w:w="4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accrual and payment activity related to the restructuring program for the three months ended March 31, 2024 and 2023:</w:t>
      </w:r>
    </w:p>
    <w:tbl>
      <w:tblPr>
        <w:tblW w:w="9416" w:type="dxa"/>
        <w:jc w:val="left"/>
        <w:tblInd w:w="0" w:type="dxa"/>
        <w:tblLayout w:type="fixed"/>
        <w:tblCellMar>
          <w:top w:w="28" w:type="dxa"/>
          <w:left w:w="28" w:type="dxa"/>
          <w:bottom w:w="28" w:type="dxa"/>
          <w:right w:w="28" w:type="dxa"/>
        </w:tblCellMar>
      </w:tblPr>
      <w:tblGrid>
        <w:gridCol w:w="941"/>
        <w:gridCol w:w="826"/>
        <w:gridCol w:w="828"/>
        <w:gridCol w:w="211"/>
        <w:gridCol w:w="616"/>
        <w:gridCol w:w="109"/>
        <w:gridCol w:w="583"/>
        <w:gridCol w:w="1708"/>
        <w:gridCol w:w="304"/>
        <w:gridCol w:w="669"/>
        <w:gridCol w:w="1291"/>
        <w:gridCol w:w="349"/>
        <w:gridCol w:w="211"/>
        <w:gridCol w:w="61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Severance </w:t>
            </w:r>
          </w:p>
        </w:tc>
        <w:tc>
          <w:tcPr>
            <w:tcW w:w="25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Early Contract Termination Costs</w:t>
            </w:r>
          </w:p>
        </w:tc>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Restructuring Activities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2023</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7,750 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3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822" w:type="dxa"/>
        <w:jc w:val="left"/>
        <w:tblInd w:w="0" w:type="dxa"/>
        <w:tblLayout w:type="fixed"/>
        <w:tblCellMar>
          <w:top w:w="28" w:type="dxa"/>
          <w:left w:w="28" w:type="dxa"/>
          <w:bottom w:w="28" w:type="dxa"/>
          <w:right w:w="28" w:type="dxa"/>
        </w:tblCellMar>
      </w:tblPr>
      <w:tblGrid>
        <w:gridCol w:w="941"/>
        <w:gridCol w:w="826"/>
        <w:gridCol w:w="828"/>
        <w:gridCol w:w="211"/>
        <w:gridCol w:w="616"/>
        <w:gridCol w:w="109"/>
        <w:gridCol w:w="715"/>
        <w:gridCol w:w="1223"/>
        <w:gridCol w:w="372"/>
        <w:gridCol w:w="211"/>
        <w:gridCol w:w="616"/>
        <w:gridCol w:w="154"/>
      </w:tblGrid>
      <w:tr>
        <w:trPr/>
        <w:tc>
          <w:tcPr>
            <w:tcW w:w="94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Severance </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Restructuring Activities</w:t>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5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NOTE 6. SEGMENTS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has two reportable segments: Progressive Leasing and Vive.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Progressive Leasing partners with traditional and e-commerce retailers, primarily in the consumer residential electronics, furniture and appliance, jewelry, mobile phones and accessories, mattresses, and automobile electronics and accessories industries to offer a lease-purchase solution primarily for customers who may not have access to traditional credit-based financing options. It does so by offering leases with monthly, semi-monthly, bi-weekly and weekly payment frequencies.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 offers a variety of second-look financing programs originated through third-party federally insured banks to customers of participating merchants and, together with Progressive Leasing, allows the Company to provide POS partners with near-prime and below-prime customers one source for financing and leasing transactions.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is an innovative BNPL company that allows shoppers to pay for merchandise through four interest-free installments. Four is not a reportable segment for the three month periods ended March 31, 2024 and 2023 as its financial results are not material to the Company's condensed consolidated financial results. The revenues, loss before income taxes, and assets within Other below are primarily comprised of the operating activities of Four.</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Disaggregated Revenue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by source and by segment for the three months ended March 31, 2024:</w:t>
      </w:r>
    </w:p>
    <w:tbl>
      <w:tblPr>
        <w:tblW w:w="8012" w:type="dxa"/>
        <w:jc w:val="left"/>
        <w:tblInd w:w="0" w:type="dxa"/>
        <w:tblLayout w:type="fixed"/>
        <w:tblCellMar>
          <w:top w:w="28" w:type="dxa"/>
          <w:left w:w="28" w:type="dxa"/>
          <w:bottom w:w="28" w:type="dxa"/>
          <w:right w:w="28" w:type="dxa"/>
        </w:tblCellMar>
      </w:tblPr>
      <w:tblGrid>
        <w:gridCol w:w="1196"/>
        <w:gridCol w:w="1050"/>
        <w:gridCol w:w="1053"/>
        <w:gridCol w:w="284"/>
        <w:gridCol w:w="1114"/>
        <w:gridCol w:w="147"/>
        <w:gridCol w:w="211"/>
        <w:gridCol w:w="721"/>
        <w:gridCol w:w="109"/>
        <w:gridCol w:w="211"/>
        <w:gridCol w:w="616"/>
        <w:gridCol w:w="109"/>
        <w:gridCol w:w="211"/>
        <w:gridCol w:w="82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Revenues and Fees</w:t>
            </w:r>
            <w:r>
              <w:rPr>
                <w:rFonts w:ascii="Times New Roman;sans-serif" w:hAnsi="Times New Roman;sans-serif"/>
                <w:b w:val="false"/>
                <w:color w:val="000000"/>
                <w:sz w:val="13"/>
              </w:rPr>
              <w:t>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Interest and Fees on Loans Receivable</w:t>
            </w:r>
            <w:r>
              <w:rPr>
                <w:rFonts w:ascii="Times New Roman;sans-serif" w:hAnsi="Times New Roman;sans-serif"/>
                <w:b w:val="false"/>
                <w:color w:val="000000"/>
                <w:sz w:val="13"/>
              </w:rPr>
              <w:t>2</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641,870 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Revenue within the scope of ASC 842, </w:t>
      </w:r>
      <w:r>
        <w:rPr>
          <w:rFonts w:ascii="Times New Roman;sans-serif" w:hAnsi="Times New Roman;sans-serif"/>
          <w:b w:val="false"/>
          <w:i/>
          <w:color w:val="000000"/>
          <w:sz w:val="16"/>
        </w:rPr>
        <w:t>Leases</w:t>
      </w:r>
      <w:r>
        <w:rPr>
          <w:rFonts w:ascii="Times New Roman;sans-serif" w:hAnsi="Times New Roman;sans-serif"/>
          <w:b w:val="false"/>
          <w:color w:val="000000"/>
          <w:sz w:val="16"/>
        </w:rPr>
        <w:t>.</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Revenue within the scope of ASC 310, </w:t>
      </w:r>
      <w:r>
        <w:rPr>
          <w:rFonts w:ascii="Times New Roman;sans-serif" w:hAnsi="Times New Roman;sans-serif"/>
          <w:b w:val="false"/>
          <w:i/>
          <w:color w:val="000000"/>
          <w:sz w:val="16"/>
        </w:rPr>
        <w:t>Receivables</w:t>
      </w:r>
      <w:r>
        <w:rPr>
          <w:rFonts w:ascii="Times New Roman;sans-serif" w:hAnsi="Times New Roman;sans-serif"/>
          <w:b w:val="false"/>
          <w:color w:val="000000"/>
          <w:sz w:val="16"/>
        </w:rPr>
        <w:t xml:space="preserve">. Also included within Interest and Fees on Loans Receivable is $1.4 million of subscription fee and interchange revenue within the scope of ASC 606, </w:t>
      </w:r>
      <w:r>
        <w:rPr>
          <w:rFonts w:ascii="Times New Roman;sans-serif" w:hAnsi="Times New Roman;sans-serif"/>
          <w:b w:val="false"/>
          <w:i/>
          <w:color w:val="000000"/>
          <w:sz w:val="16"/>
        </w:rPr>
        <w:t>Revenue from Contracts with Customers</w:t>
      </w:r>
      <w:r>
        <w:rPr>
          <w:rFonts w:ascii="Times New Roman;sans-serif" w:hAnsi="Times New Roman;sans-serif"/>
          <w:b w:val="false"/>
          <w:color w:val="000000"/>
          <w:sz w:val="16"/>
        </w:rPr>
        <w:t>.</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revenue by source and by segment for the three months ended March 31, 2023:</w:t>
      </w:r>
    </w:p>
    <w:tbl>
      <w:tblPr>
        <w:tblW w:w="7862" w:type="dxa"/>
        <w:jc w:val="left"/>
        <w:tblInd w:w="0" w:type="dxa"/>
        <w:tblLayout w:type="fixed"/>
        <w:tblCellMar>
          <w:top w:w="28" w:type="dxa"/>
          <w:left w:w="28" w:type="dxa"/>
          <w:bottom w:w="28" w:type="dxa"/>
          <w:right w:w="28" w:type="dxa"/>
        </w:tblCellMar>
      </w:tblPr>
      <w:tblGrid>
        <w:gridCol w:w="1196"/>
        <w:gridCol w:w="1050"/>
        <w:gridCol w:w="1053"/>
        <w:gridCol w:w="284"/>
        <w:gridCol w:w="1114"/>
        <w:gridCol w:w="147"/>
        <w:gridCol w:w="211"/>
        <w:gridCol w:w="721"/>
        <w:gridCol w:w="109"/>
        <w:gridCol w:w="211"/>
        <w:gridCol w:w="466"/>
        <w:gridCol w:w="109"/>
        <w:gridCol w:w="211"/>
        <w:gridCol w:w="826"/>
        <w:gridCol w:w="154"/>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Revenues and Fees</w:t>
            </w:r>
            <w:r>
              <w:rPr>
                <w:rFonts w:ascii="Times New Roman;sans-serif" w:hAnsi="Times New Roman;sans-serif"/>
                <w:b w:val="false"/>
                <w:color w:val="000000"/>
                <w:sz w:val="13"/>
              </w:rPr>
              <w:t>1</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Interest and Fees on Loans Receivable</w:t>
            </w:r>
            <w:r>
              <w:rPr>
                <w:rFonts w:ascii="Times New Roman;sans-serif" w:hAnsi="Times New Roman;sans-serif"/>
                <w:b w:val="false"/>
                <w:color w:val="000000"/>
                <w:sz w:val="13"/>
              </w:rPr>
              <w:t>2</w:t>
            </w:r>
          </w:p>
        </w:tc>
        <w:tc>
          <w:tcPr>
            <w:tcW w:w="13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Revenue within the scope of ASC 842, </w:t>
      </w:r>
      <w:r>
        <w:rPr>
          <w:rFonts w:ascii="Times New Roman;sans-serif" w:hAnsi="Times New Roman;sans-serif"/>
          <w:b w:val="false"/>
          <w:i/>
          <w:color w:val="000000"/>
          <w:sz w:val="16"/>
        </w:rPr>
        <w:t>Leases</w:t>
      </w:r>
      <w:r>
        <w:rPr>
          <w:rFonts w:ascii="Times New Roman;sans-serif" w:hAnsi="Times New Roman;sans-serif"/>
          <w:b w:val="false"/>
          <w:color w:val="000000"/>
          <w:sz w:val="16"/>
        </w:rPr>
        <w:t>.</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 xml:space="preserve">Revenue within the scope of ASC 310, </w:t>
      </w:r>
      <w:r>
        <w:rPr>
          <w:rFonts w:ascii="Times New Roman;sans-serif" w:hAnsi="Times New Roman;sans-serif"/>
          <w:b w:val="false"/>
          <w:i/>
          <w:color w:val="000000"/>
          <w:sz w:val="16"/>
        </w:rPr>
        <w:t>Receivables</w:t>
      </w:r>
      <w:r>
        <w:rPr>
          <w:rFonts w:ascii="Times New Roman;sans-serif" w:hAnsi="Times New Roman;sans-serif"/>
          <w:b w:val="false"/>
          <w:color w:val="000000"/>
          <w:sz w:val="16"/>
        </w:rPr>
        <w:t>.</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Measurement of Segment Profit or Loss and Segment Assets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evaluates performance and allocates resources based on revenues and earnings (loss) before income tax expense. The Company determines earnings (loss) before income tax expense for all reportable segments in accordance with U.S. GAAP.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various corporate overhead expenses for certain executive management, finance, treasury, tax, audit, legal, risk management, and other overhead functions during the three months ended March 31, 2024 and 2023. Corporate overhead expenses incurred are primarily reflected as expenses of the Progressive Leasing segment and an immaterial amount was allocated to the Vive segment and Other. The allocation of corporate overhead costs to Progressive Leasing, Vive and Other is consistent with how the chief operating decision maker analyzed performance and allocated resources among the segments of the Company during the three months ended March 31, 2024 and 2023. The following is a summary of earnings before income tax expense by segment:</w:t>
      </w:r>
    </w:p>
    <w:tbl>
      <w:tblPr>
        <w:tblW w:w="6098" w:type="dxa"/>
        <w:jc w:val="left"/>
        <w:tblInd w:w="0" w:type="dxa"/>
        <w:tblLayout w:type="fixed"/>
        <w:tblCellMar>
          <w:top w:w="28" w:type="dxa"/>
          <w:left w:w="28" w:type="dxa"/>
          <w:bottom w:w="28" w:type="dxa"/>
          <w:right w:w="28" w:type="dxa"/>
        </w:tblCellMar>
      </w:tblPr>
      <w:tblGrid>
        <w:gridCol w:w="1321"/>
        <w:gridCol w:w="1160"/>
        <w:gridCol w:w="1163"/>
        <w:gridCol w:w="211"/>
        <w:gridCol w:w="721"/>
        <w:gridCol w:w="109"/>
        <w:gridCol w:w="109"/>
        <w:gridCol w:w="109"/>
        <w:gridCol w:w="109"/>
        <w:gridCol w:w="211"/>
        <w:gridCol w:w="72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6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Earnings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results of Progressive Leasing earnings before income tax expense were impacted by $18.0 million associated with the restructuring activities. These expenses were primarily comprised of early contract termination costs, operating lease right-of-use asset and other fixed asset impairment charges related to a reduction of office space, and employee severance costs.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results of the Company's operating segments were not impacted by any significant unusual items during the three months ended March 31, 2023.</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total assets by segment:</w:t>
      </w:r>
    </w:p>
    <w:tbl>
      <w:tblPr>
        <w:tblW w:w="4908" w:type="dxa"/>
        <w:jc w:val="left"/>
        <w:tblInd w:w="0" w:type="dxa"/>
        <w:tblLayout w:type="fixed"/>
        <w:tblCellMar>
          <w:top w:w="28" w:type="dxa"/>
          <w:left w:w="28" w:type="dxa"/>
          <w:bottom w:w="28" w:type="dxa"/>
          <w:right w:w="28" w:type="dxa"/>
        </w:tblCellMar>
      </w:tblPr>
      <w:tblGrid>
        <w:gridCol w:w="631"/>
        <w:gridCol w:w="554"/>
        <w:gridCol w:w="555"/>
        <w:gridCol w:w="211"/>
        <w:gridCol w:w="976"/>
        <w:gridCol w:w="109"/>
        <w:gridCol w:w="109"/>
        <w:gridCol w:w="109"/>
        <w:gridCol w:w="109"/>
        <w:gridCol w:w="243"/>
        <w:gridCol w:w="1125"/>
        <w:gridCol w:w="177"/>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7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1,286,587 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1,491,255 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PROG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additional segment profit or loss information for the three months ended March 31, 2024 and 2023:</w:t>
      </w:r>
    </w:p>
    <w:tbl>
      <w:tblPr>
        <w:tblW w:w="6564" w:type="dxa"/>
        <w:jc w:val="left"/>
        <w:tblInd w:w="0" w:type="dxa"/>
        <w:tblLayout w:type="fixed"/>
        <w:tblCellMar>
          <w:top w:w="28" w:type="dxa"/>
          <w:left w:w="28" w:type="dxa"/>
          <w:bottom w:w="28" w:type="dxa"/>
          <w:right w:w="28" w:type="dxa"/>
        </w:tblCellMar>
      </w:tblPr>
      <w:tblGrid>
        <w:gridCol w:w="1255"/>
        <w:gridCol w:w="1102"/>
        <w:gridCol w:w="1107"/>
        <w:gridCol w:w="211"/>
        <w:gridCol w:w="826"/>
        <w:gridCol w:w="109"/>
        <w:gridCol w:w="109"/>
        <w:gridCol w:w="109"/>
        <w:gridCol w:w="109"/>
        <w:gridCol w:w="211"/>
        <w:gridCol w:w="826"/>
        <w:gridCol w:w="109"/>
        <w:gridCol w:w="109"/>
        <w:gridCol w:w="109"/>
        <w:gridCol w:w="109"/>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Total Depreciation and Amortization</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of Lease Merchandise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Elimination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Elimination</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 Net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2</w:t>
            </w:r>
            <w:r>
              <w:rPr>
                <w:rFonts w:ascii="Times New Roman;sans-serif" w:hAnsi="Times New Roman;sans-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 xml:space="preserve">Excludes depreciation of lease merchandise, which is not included in the chief operating decision maker's measure of depreciation and amortization. </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Capital expenditures primarily consists of internal-use software, as well as computer hardware and furniture and equipment.</w:t>
      </w:r>
    </w:p>
    <w:p>
      <w:pPr>
        <w:pStyle w:val="TextBody"/>
        <w:bidi w:val="0"/>
        <w:spacing w:before="60" w:after="283"/>
        <w:ind w:left="0" w:right="0" w:hanging="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Special Note Regarding Forward-Looking Information: Except for historical information contained herein, the matters set forth in this Form 10-Q are forward-looking statements. These statements are based on management’s current expectations and plans, which involve risks and uncertainties. Such forward-looking statements generally can be identified by the use of forward-looking terminology such as "anticipate," "believe," "could," "estimate," "expect," "intend," "plan," "project," "would," "should," and similar expressions. You are cautioned not to place undue reliance on these forward-looking statements, which speak only as of the filing date of this Quarterly Report and which involve risks and uncertainties that may cause actual results to differ materially from those set forth in these statements. These risks and uncertainties include factors that could cause our actual results and financial condition to differ materially from those expressed or implied in our forward-looking statements. Such risks and uncertainties include, among others, those discussed in "Item 1A. Risk Factors" in the Company's Annual Report on Form 10-K for the fiscal year ended December 31, 2023 (the "2023 Annual Report") and in this Quarterly Report on Form 10-Q for the quarter ended March 31, 2024. Except as required by law, the Company undertakes no obligation to update these forward-looking statements to reflect subsequent events or circumstances after the filing date of this Quarterly Report.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discussion should be read in conjunction with the condensed consolidated financial statements as of and for the three months ended March 31, 2024 and 2023, including the notes to those statements, appearing elsewhere in this report. We also suggest that management’s discussion and analysis appearing in this report be read in conjunction with the management’s discussion and analysis and consolidated financial statements included in our 2023 Annual Report.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Business Overview</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 Holdings, Inc. ("we," "our," "us," the "Company," or "PROG Holdings") is a financial technology holding company that provides transparent and competitive payment options to consumers. PROG Holdings has two reportable segments: (i) Progressive Leasing, an in-store, app-based, and e-commerce point-of-sale lease-to-own solutions provider; and (ii) Vive Financial ("Vive"), an omnichannel provider of second-look revolving credit products.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Progressive Leasing segment provides consumers with lease-purchase solutions through its point-of-sale partner locations and e-commerce website partners (collectively, "POS partners"). It does so by purchasing merchandise from the POS partners desired by customers and, in turn, leasing that merchandise to the customers through a cancellable lease-to-own transaction. Progressive Leasing has no stores of its own, but rather offers lease-purchase solutions to the customers of traditional and e-commerce retailers.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Vive segment primarily serves customers that may not qualify for traditional prime lending offers who desire to purchase goods and services from participating merchants. Vive offers customized programs with services that include revolving loans through private label and Vive-branded credit cards. Vive's current network of POS partner locations and e-commerce websites includes furniture, mattresses, home exercise equipment, and home improvement retailers, as well as medical and dental service providers.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Four Technologies, Inc. ("Four") is a Buy Now, Pay Later ("BNPL") company that allows shoppers to pay for merchandise through four interest-free installments. Four’s proprietary platform capabilities and its base of customers and retailers expand PROG Holdings’ ecosystem of financial technology offerings by introducing a payment solution that further diversifies the Company's consumer financial technology offerings. Shoppers use Four to purchase furniture, clothing, electronics, health and beauty products, footwear, jewelry, and other consumer goods from retailers across the United States. Four is not expected to be a reportable segment in 2024 as its financial results are not expected to be material to the Company's consolidated financial results in 2024. Four's financial results are reported within "Other" for segment reporting purposes.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Macroeconomic and Business Environment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operate in a challenging macroeconomic environment. We believe the higher year-over-year inflation in 2023, which remained elevated in 2024, particularly in housing, food, and gas costs, has disproportionately negatively affected the customers we serve and has resulted in an unfavorable impact on our Gross Merchandise Volume ("GMV") during 2023 and 2024. While the rate of increase in inflation has slowed, the cost of living remains significantly higher than it was prior to the COVID-19 pandemic, and we believe inflation continues to present a challenge to our customers. We believe the significant increase in inflation, elevated interest rates for extended periods, and fears of a possible recession have also unfavorably impacted consumer confidence within our customer base, resulting in a decrease in demand for the types of merchandise offered by many of our key national and regional POS partners. In light of these macroeconomic challenges and to align the cost structure of our business with our near-term revenue outlook, the Company executed a number of cost reduction initiatives during 2022, 2023 and the first quarter of 2024 to drive efficiencies and right-size variable costs, while attempting to minimize the negative impact on growth-related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Cybersecurity Incident</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third quarter of 2023, Progressive Leasing experienced a cybersecurity incident affecting certain data and IT systems of Progressive Leasing. Promptly after detecting the incident, the Company engaged third-party cybersecurity experts and took immediate steps to respond to, remediate and investigate the incident. Law enforcement was also notified. Based on the Company's investigation, the Company determined that the data involved in the incident contained a substantial amount of personally identifiable information, including social security numbers, of Progressive Leasing's customers and other individuals. With the assistance of our cybersecurity experts, the Company located the Progressive Leasing customers and other individuals whose information was impacted and notified them, consistent with state and federal requirements. The Company also took a number of additional measures to demonstrate its continued support and commitment to data privacy and protection.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this cybersecurity incident, Progressive Leasing has become subject to multiple lawsuits which allege, among other things, the incurrence of various types of damages arising out of the incident. As of the date of this Form 10-Q, all of these lawsuits have been consolidated into a single action in the United States District Court for the District of Utah (the "District Court") and the plaintiffs filed a consolidated complaint on April 19,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 intends to vigorously defend itself against the lawsuit; however, at this time, the Company is unable to determine or predict the outcome of this lawsuit or reasonably provide an estimate or range of the possible losses, if any. The Company also maintains cybersecurity insurance coverage, subject to a $1.0 million retention, to limit the exposure to losses and related costs and expenses, such as those related to the cybersecurity incident and lawsuits stemming therefrom; however, there can be no assurance that such insurance coverage will be adequate to cover all of the costs and expenses related thereto or that the insurers will agree to cover all such losses, costs and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the Company incurred $0.1 million for actual and anticipated costs related to the cybersecurity incident, resulting in aggregate expenses of $2.9 million since the incident occurred. These costs related primarily to third-party legal and consulting services and credit monitoring services for Progressive Leasing's customers and employees that were impacted and are included within professional services expense as a component of operating expenses in the condensed consolidated statements of earnings.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Highlights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significant financial highlights from the three months ended March 31, 2024:</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We reported revenues of $641.9 million, a decrease of 2.0% compared to the first quarter of 2023. The decrease in revenues was primarily due to a smaller lease portfolio, which was a result of decreased customer demand for many of the products offered by our POS partners. The decline in revenues was partially offset by an increase in revenue from our Other operations, primarily from our Four business.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GMV for Progressive Leasing was relatively flat compared to the first quarter of 2023, decreasing $0.2 million. GMV decreased $4.9 million for Vive in the first quarter of 2024, compared to the same period in the prior year. The decrease for Vive was due to a decline in customer demand for products offered by certain Vive POS partners, resulting in fewer loan originations. GMV from our Other operations increased by $35.2 million, due to an increase in Four loan originations in the first quarter of 2024 compared to the first quarter of 2023.</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Earnings before income taxes decreased to $31.6 million compared to $67.6 million in the same period in 2023. The decrease was primarily driven by increased restructuring costs, lower revenues, higher write-offs, and an increase in certain additional operating expenses. These decreases to earnings before income taxes were partially offset by lower personnel costs resulting from cost reduction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Key Operating Metrics</w:t>
      </w:r>
    </w:p>
    <w:p>
      <w:pPr>
        <w:pStyle w:val="TextBody"/>
        <w:bidi w:val="0"/>
        <w:spacing w:lineRule="auto" w:line="288" w:before="100" w:after="283"/>
        <w:jc w:val="left"/>
        <w:rPr/>
      </w:pPr>
      <w:r>
        <w:rPr>
          <w:rFonts w:ascii="Times New Roman;sans-serif" w:hAnsi="Times New Roman;sans-serif"/>
          <w:b w:val="false"/>
          <w:i/>
          <w:color w:val="000000"/>
          <w:sz w:val="20"/>
        </w:rPr>
        <w:t>Gross Merchandise Volume</w:t>
      </w:r>
      <w:r>
        <w:rPr>
          <w:rFonts w:ascii="Times New Roman;sans-serif" w:hAnsi="Times New Roman;sans-serif"/>
          <w:b w:val="false"/>
          <w:color w:val="000000"/>
          <w:sz w:val="20"/>
        </w:rPr>
        <w:t xml:space="preserve">. We believe GMV is a key performance indicator of our Progressive Leasing and Vive segments, as it provides the total value of new leases and loans written into our portfolio over a specified time period. GMV does not represent revenues earned by the Company, but rather is a leading indicator we use in forecasting revenues the Company may earn in the short-term. Progressive Leasing's GMV is defined as the retail price of merchandise acquired by Progressive Leasing, which it then expects to lease to its customers. GMV for Vive and Other are defined as gross loan originations.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GMV for the Company for the periods presented:</w:t>
      </w:r>
    </w:p>
    <w:tbl>
      <w:tblPr>
        <w:tblW w:w="7525" w:type="dxa"/>
        <w:jc w:val="left"/>
        <w:tblInd w:w="0" w:type="dxa"/>
        <w:tblLayout w:type="fixed"/>
        <w:tblCellMar>
          <w:top w:w="28" w:type="dxa"/>
          <w:left w:w="28" w:type="dxa"/>
          <w:bottom w:w="28" w:type="dxa"/>
          <w:right w:w="28" w:type="dxa"/>
        </w:tblCellMar>
      </w:tblPr>
      <w:tblGrid>
        <w:gridCol w:w="836"/>
        <w:gridCol w:w="734"/>
        <w:gridCol w:w="73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93"/>
        <w:gridCol w:w="293"/>
        <w:gridCol w:w="316"/>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(Unaudited and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nmf</w:t>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GMV</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498,905 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nmf - Calculation is not meaningful</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Leasing's GMV was relatively flat compared to the first quarter of 2023. E-commerce channels generated 16.3% of Progressive Leasing's GMV in the first quarter of 2024 compared to 16.9% in the first quarter of 2023. The decrease in Vive's GMV was primarily a result of a decline in customer demand for products offered by certain Vive POS partners, resulting in fewer loan approvals. GMV from Other increased primarily due to an increase in Four loan originations.</w:t>
      </w:r>
    </w:p>
    <w:p>
      <w:pPr>
        <w:pStyle w:val="TextBody"/>
        <w:bidi w:val="0"/>
        <w:spacing w:lineRule="auto" w:line="288" w:before="100" w:after="283"/>
        <w:jc w:val="left"/>
        <w:rPr/>
      </w:pPr>
      <w:r>
        <w:rPr>
          <w:rFonts w:ascii="Times New Roman;sans-serif" w:hAnsi="Times New Roman;sans-serif"/>
          <w:b w:val="false"/>
          <w:i/>
          <w:color w:val="000000"/>
          <w:sz w:val="20"/>
        </w:rPr>
        <w:t>Active Customer Count.</w:t>
      </w:r>
      <w:r>
        <w:rPr>
          <w:color w:val="000000"/>
        </w:rPr>
        <w:t xml:space="preserve"> </w:t>
      </w:r>
      <w:r>
        <w:rPr>
          <w:rFonts w:ascii="Times New Roman;sans-serif" w:hAnsi="Times New Roman;sans-serif"/>
          <w:b w:val="false"/>
          <w:color w:val="000000"/>
          <w:sz w:val="20"/>
        </w:rPr>
        <w:t>Our active customer count represents the total number of customers that have an active lease agreement with Progressive Leasing, or an active loan with Vive or Other. Active customer counts include customers that may have an active lease or loan agreement with more than one segment. The following table presents our active customer count for each segment and Other:</w:t>
      </w:r>
    </w:p>
    <w:tbl>
      <w:tblPr>
        <w:tblW w:w="5108" w:type="dxa"/>
        <w:jc w:val="center"/>
        <w:tblInd w:w="0" w:type="dxa"/>
        <w:tblLayout w:type="fixed"/>
        <w:tblCellMar>
          <w:top w:w="28" w:type="dxa"/>
          <w:left w:w="28" w:type="dxa"/>
          <w:bottom w:w="28" w:type="dxa"/>
          <w:right w:w="28" w:type="dxa"/>
        </w:tblCellMar>
      </w:tblPr>
      <w:tblGrid>
        <w:gridCol w:w="1260"/>
        <w:gridCol w:w="1106"/>
        <w:gridCol w:w="1114"/>
        <w:gridCol w:w="233"/>
        <w:gridCol w:w="233"/>
        <w:gridCol w:w="156"/>
        <w:gridCol w:w="109"/>
        <w:gridCol w:w="109"/>
        <w:gridCol w:w="109"/>
        <w:gridCol w:w="233"/>
        <w:gridCol w:w="233"/>
        <w:gridCol w:w="213"/>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As of March 31 (Unaudited and In Thousands)</w:t>
            </w:r>
          </w:p>
        </w:tc>
        <w:tc>
          <w:tcPr>
            <w:tcW w:w="6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Active Customer Count:</w:t>
            </w:r>
          </w:p>
        </w:tc>
        <w:tc>
          <w:tcPr>
            <w:tcW w:w="6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the number of Progressive Leasing customers was primarily due to a decrease in customer demand for the types of merchandise typically purchased through our lease-to-own solutions. The decrease in Vive customers was primarily due to a reduction in loan originations compared to the same period in the prior year, resulting from a decrease in consumer demand for products offered by certain Vive POS partners. The increase in the number of customers for Other was the result of continued growth in our other strategic businesses, primarily our Four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Key Components of Earnings Before Income Tax Expense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MD&amp;A section, we review our condensed consolidated results. For the three months ended March 31, 2024 and the comparable prior year period, some of the key revenue, cost and expense items that affected earnings before income taxes were as follows: </w:t>
      </w:r>
    </w:p>
    <w:p>
      <w:pPr>
        <w:pStyle w:val="TextBody"/>
        <w:bidi w:val="0"/>
        <w:spacing w:lineRule="auto" w:line="288" w:before="100" w:after="283"/>
        <w:jc w:val="left"/>
        <w:rPr/>
      </w:pPr>
      <w:r>
        <w:rPr>
          <w:rFonts w:ascii="Times New Roman;sans-serif" w:hAnsi="Times New Roman;sans-serif"/>
          <w:b w:val="false"/>
          <w:i/>
          <w:color w:val="000000"/>
          <w:sz w:val="20"/>
        </w:rPr>
        <w:t>Revenues</w:t>
      </w:r>
      <w:r>
        <w:rPr>
          <w:rFonts w:ascii="Times New Roman;sans-serif" w:hAnsi="Times New Roman;sans-serif"/>
          <w:b w:val="false"/>
          <w:color w:val="000000"/>
          <w:sz w:val="20"/>
        </w:rPr>
        <w:t>. We separate our total revenues into two components: (i) lease revenues and fees and (ii) interest and fees on loans receivable. Lease revenues and fees include all revenues derived from lease agreements from our Progressive Leasing segment. Lease revenues are recorded net of a provision for uncollectible renewal payments. Interest and fees on loans receivable represents merchant fees, finance charges and annual and other fees earned on outstanding loans in our Vive segment and, to a lesser extent, from Four.</w:t>
      </w:r>
    </w:p>
    <w:p>
      <w:pPr>
        <w:pStyle w:val="TextBody"/>
        <w:bidi w:val="0"/>
        <w:spacing w:lineRule="auto" w:line="288" w:before="100" w:after="283"/>
        <w:jc w:val="left"/>
        <w:rPr/>
      </w:pPr>
      <w:r>
        <w:rPr>
          <w:rFonts w:ascii="Times New Roman;sans-serif" w:hAnsi="Times New Roman;sans-serif"/>
          <w:b w:val="false"/>
          <w:i/>
          <w:color w:val="000000"/>
          <w:sz w:val="20"/>
        </w:rPr>
        <w:t>Depreciation of Lease Merchandise</w:t>
      </w:r>
      <w:r>
        <w:rPr>
          <w:rFonts w:ascii="Times New Roman;sans-serif" w:hAnsi="Times New Roman;sans-serif"/>
          <w:b w:val="false"/>
          <w:color w:val="000000"/>
          <w:sz w:val="20"/>
        </w:rPr>
        <w:t>. Depreciation of lease merchandise reflects the expense associated with depreciating merchandise leased to customers by Progressive Leasing.</w:t>
      </w:r>
    </w:p>
    <w:p>
      <w:pPr>
        <w:pStyle w:val="TextBody"/>
        <w:bidi w:val="0"/>
        <w:spacing w:lineRule="auto" w:line="288" w:before="100" w:after="283"/>
        <w:jc w:val="left"/>
        <w:rPr/>
      </w:pPr>
      <w:r>
        <w:rPr>
          <w:rFonts w:ascii="Times New Roman;sans-serif" w:hAnsi="Times New Roman;sans-serif"/>
          <w:b w:val="false"/>
          <w:i/>
          <w:color w:val="000000"/>
          <w:sz w:val="20"/>
        </w:rPr>
        <w:t>Provision for Lease Merchandise Write-offs.</w:t>
      </w:r>
      <w:r>
        <w:rPr>
          <w:color w:val="000000"/>
        </w:rPr>
        <w:t xml:space="preserve"> </w:t>
      </w:r>
      <w:r>
        <w:rPr>
          <w:rFonts w:ascii="Times New Roman;sans-serif" w:hAnsi="Times New Roman;sans-serif"/>
          <w:b w:val="false"/>
          <w:color w:val="000000"/>
          <w:sz w:val="20"/>
        </w:rPr>
        <w:t>The provision for lease merchandise write-offs represents the estimated merchandise losses incurred but not yet identified by management and adjustments for changes in estimates for the allowance for lease merchandise write-offs.</w:t>
      </w:r>
    </w:p>
    <w:p>
      <w:pPr>
        <w:pStyle w:val="TextBody"/>
        <w:bidi w:val="0"/>
        <w:spacing w:lineRule="auto" w:line="288" w:before="100" w:after="283"/>
        <w:jc w:val="left"/>
        <w:rPr/>
      </w:pPr>
      <w:r>
        <w:rPr>
          <w:rFonts w:ascii="Times New Roman;sans-serif" w:hAnsi="Times New Roman;sans-serif"/>
          <w:b w:val="false"/>
          <w:i/>
          <w:color w:val="000000"/>
          <w:sz w:val="20"/>
        </w:rPr>
        <w:t>Operating Expenses</w:t>
      </w:r>
      <w:r>
        <w:rPr>
          <w:rFonts w:ascii="Times New Roman;sans-serif" w:hAnsi="Times New Roman;sans-serif"/>
          <w:b w:val="false"/>
          <w:color w:val="000000"/>
          <w:sz w:val="20"/>
        </w:rPr>
        <w:t>. Operating expenses include personnel costs, the provision for loan losses, restructuring expenses, sales acquisition expense, computer software expense, stock-based compensation expense, intangible asset amortization, professional services expense, advertising, bank service charges, fixed asset depreciation, occupancy costs, and decisioning expense, among other expenses.</w:t>
      </w:r>
    </w:p>
    <w:p>
      <w:pPr>
        <w:pStyle w:val="TextBody"/>
        <w:bidi w:val="0"/>
        <w:spacing w:lineRule="auto" w:line="288" w:before="100" w:after="283"/>
        <w:jc w:val="left"/>
        <w:rPr/>
      </w:pPr>
      <w:r>
        <w:rPr>
          <w:rFonts w:ascii="Times New Roman;sans-serif" w:hAnsi="Times New Roman;sans-serif"/>
          <w:b w:val="false"/>
          <w:i/>
          <w:color w:val="000000"/>
          <w:sz w:val="20"/>
        </w:rPr>
        <w:t>Interest Expense, Net.</w:t>
      </w:r>
      <w:r>
        <w:rPr>
          <w:color w:val="000000"/>
        </w:rPr>
        <w:t xml:space="preserve"> </w:t>
      </w:r>
      <w:r>
        <w:rPr>
          <w:rFonts w:ascii="Times New Roman;sans-serif" w:hAnsi="Times New Roman;sans-serif"/>
          <w:b w:val="false"/>
          <w:color w:val="000000"/>
          <w:sz w:val="20"/>
        </w:rPr>
        <w:t xml:space="preserve">Interest expense, net consists of interest incurred on the Company's Senior Notes and senior secured revolving credit facility (the "Revolving Facility"). Interest expense is presented net of interest income earned on the Company's deposits in cash and cash equivalents.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 – Three months ended March 31, 2024 and 2023</w:t>
      </w:r>
    </w:p>
    <w:tbl>
      <w:tblPr>
        <w:tblW w:w="9520" w:type="dxa"/>
        <w:jc w:val="left"/>
        <w:tblInd w:w="0" w:type="dxa"/>
        <w:tblLayout w:type="fixed"/>
        <w:tblCellMar>
          <w:top w:w="28" w:type="dxa"/>
          <w:left w:w="28" w:type="dxa"/>
          <w:bottom w:w="28" w:type="dxa"/>
          <w:right w:w="28" w:type="dxa"/>
        </w:tblCellMar>
      </w:tblPr>
      <w:tblGrid>
        <w:gridCol w:w="1535"/>
        <w:gridCol w:w="1345"/>
        <w:gridCol w:w="1350"/>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90"/>
        <w:gridCol w:w="295"/>
        <w:gridCol w:w="316"/>
      </w:tblGrid>
      <w:tr>
        <w:trPr/>
        <w:tc>
          <w:tcPr>
            <w:tcW w:w="1535"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Revenues and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Lease Merchandise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Lease Merchandise Write-Offs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PROFIT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EARNINGS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48,033 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bidi w:val="0"/>
        <w:spacing w:lineRule="auto" w:line="288" w:before="100" w:after="283"/>
        <w:jc w:val="left"/>
        <w:rPr/>
      </w:pPr>
      <w:r>
        <w:rPr>
          <w:rFonts w:ascii="Times New Roman;sans-serif" w:hAnsi="Times New Roman;sans-serif"/>
          <w:b w:val="false"/>
          <w:color w:val="000000"/>
          <w:sz w:val="20"/>
        </w:rPr>
        <w:t>Information about our revenues by source and reportable segment is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541"/>
        <w:gridCol w:w="356"/>
        <w:gridCol w:w="357"/>
        <w:gridCol w:w="218"/>
        <w:gridCol w:w="854"/>
        <w:gridCol w:w="112"/>
        <w:gridCol w:w="211"/>
        <w:gridCol w:w="721"/>
        <w:gridCol w:w="109"/>
        <w:gridCol w:w="211"/>
        <w:gridCol w:w="616"/>
        <w:gridCol w:w="109"/>
        <w:gridCol w:w="211"/>
        <w:gridCol w:w="826"/>
        <w:gridCol w:w="109"/>
        <w:gridCol w:w="218"/>
        <w:gridCol w:w="854"/>
        <w:gridCol w:w="112"/>
        <w:gridCol w:w="211"/>
        <w:gridCol w:w="721"/>
        <w:gridCol w:w="109"/>
        <w:gridCol w:w="211"/>
        <w:gridCol w:w="466"/>
        <w:gridCol w:w="109"/>
        <w:gridCol w:w="211"/>
        <w:gridCol w:w="826"/>
        <w:gridCol w:w="109"/>
        <w:gridCol w:w="109"/>
        <w:gridCol w:w="109"/>
        <w:gridCol w:w="109"/>
        <w:gridCol w:w="160"/>
      </w:tblGrid>
      <w:tr>
        <w:trPr/>
        <w:tc>
          <w:tcPr>
            <w:tcW w:w="541"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c>
          <w:tcPr>
            <w:tcW w:w="4157"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Progressive Leasing</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Vive</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Revenues and Fees</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Fees on Loans Receivable</w:t>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620,550 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637,082 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decrease in Progressive Leasing revenues was primarily the result of a smaller lease portfolio at the beginning of the quarter as compared to the first quarter of 2023 due to a decrease in customer demand for many of the products offered by our POS partners. Vive revenues declined primarily due to a smaller loan portfolio in the first quarter of 2024 as compared to the first quarter of 2023, resulting from a 19.4% decrease in GMV for the year ended 2023 compared to 2022. The increase to Other revenue was primarily driven by an increase in Four's GMV as compared to the first quarter of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about certain significant components of operating expenses for the first quarter of 2024 as compared to the first quarter of 2023 is as follows:</w:t>
      </w:r>
    </w:p>
    <w:tbl>
      <w:tblPr>
        <w:tblW w:w="9235" w:type="dxa"/>
        <w:jc w:val="left"/>
        <w:tblInd w:w="0" w:type="dxa"/>
        <w:tblLayout w:type="fixed"/>
        <w:tblCellMar>
          <w:top w:w="28" w:type="dxa"/>
          <w:left w:w="28" w:type="dxa"/>
          <w:bottom w:w="28" w:type="dxa"/>
          <w:right w:w="28" w:type="dxa"/>
        </w:tblCellMar>
      </w:tblPr>
      <w:tblGrid>
        <w:gridCol w:w="1484"/>
        <w:gridCol w:w="1304"/>
        <w:gridCol w:w="130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54"/>
        <w:gridCol w:w="257"/>
        <w:gridCol w:w="316"/>
      </w:tblGrid>
      <w:tr>
        <w:trPr/>
        <w:tc>
          <w:tcPr>
            <w:tcW w:w="1484"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Personnel Costs</w:t>
            </w:r>
            <w:r>
              <w:rPr>
                <w:rFonts w:ascii="Times New Roman;sans-serif" w:hAnsi="Times New Roman;sans-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Occupancy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Advertising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Sales Acquisition Expense</w:t>
            </w:r>
            <w:r>
              <w:rPr>
                <w:rFonts w:ascii="Times New Roman;sans-serif" w:hAnsi="Times New Roman;sans-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Computer Software Expense</w:t>
            </w:r>
            <w:r>
              <w:rPr>
                <w:rFonts w:ascii="Times New Roman;sans-serif" w:hAnsi="Times New Roman;sans-serif"/>
                <w:b w:val="false"/>
                <w:color w:val="000000"/>
                <w:sz w:val="13"/>
              </w:rPr>
              <w:t>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Service Charges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Sales, General and Administrative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Sales, General and Administrative Expense</w:t>
            </w:r>
            <w:r>
              <w:rPr>
                <w:rFonts w:ascii="Times New Roman;sans-serif" w:hAnsi="Times New Roman;sans-serif"/>
                <w:b w:val="false"/>
                <w:color w:val="000000"/>
                <w:sz w:val="13"/>
              </w:rPr>
              <w:t>4</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Loan Losses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nmf</w:t>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Expenses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60" w:after="283"/>
        <w:ind w:left="0" w:right="0" w:hanging="90"/>
        <w:jc w:val="left"/>
        <w:rPr>
          <w:rFonts w:ascii="Times New Roman;sans-serif" w:hAnsi="Times New Roman;sans-serif"/>
          <w:b w:val="false"/>
          <w:color w:val="000000"/>
          <w:sz w:val="16"/>
        </w:rPr>
      </w:pPr>
      <w:r>
        <w:rPr>
          <w:rFonts w:ascii="Times New Roman;sans-serif" w:hAnsi="Times New Roman;sans-serif"/>
          <w:b w:val="false"/>
          <w:color w:val="000000"/>
          <w:sz w:val="16"/>
        </w:rPr>
        <w:t>nmf - Calculation is not meaningful</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Personnel costs excludes stock-based compensation expense, which is reported separately in the operating expense table.</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Sales acquisition expense includes vendor incentives and rebates to POS partners, external sales commissions, amortization of initial direct costs and amounts paid to various POS partners to be their exclusive provider of lease-to-own solutions.</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3 </w:t>
      </w:r>
      <w:r>
        <w:rPr>
          <w:rFonts w:ascii="Times New Roman;sans-serif" w:hAnsi="Times New Roman;sans-serif"/>
          <w:b w:val="false"/>
          <w:color w:val="000000"/>
          <w:sz w:val="16"/>
        </w:rPr>
        <w:t>Computer software expense consists primarily of software subscription fees, licensing fees and non-capitalizable software implementation costs.</w:t>
      </w:r>
    </w:p>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4 </w:t>
      </w:r>
      <w:r>
        <w:rPr>
          <w:rFonts w:ascii="Times New Roman;sans-serif" w:hAnsi="Times New Roman;sans-serif"/>
          <w:b w:val="false"/>
          <w:color w:val="000000"/>
          <w:sz w:val="16"/>
        </w:rPr>
        <w:t>Progressive Leasing's sales, general and administrative expense was $76.6 million and $75.9 million during the three months ended March 31, 2024 and 2023, respectively.</w:t>
      </w:r>
    </w:p>
    <w:p>
      <w:pPr>
        <w:pStyle w:val="TextBody"/>
        <w:bidi w:val="0"/>
        <w:spacing w:lineRule="auto" w:line="288" w:before="180" w:after="283"/>
        <w:jc w:val="left"/>
        <w:rPr/>
      </w:pPr>
      <w:r>
        <w:rPr>
          <w:rFonts w:ascii="Times New Roman;sans-serif" w:hAnsi="Times New Roman;sans-serif"/>
          <w:b w:val="false"/>
          <w:color w:val="242424"/>
          <w:sz w:val="20"/>
        </w:rPr>
        <w:t xml:space="preserve">Personnel costs decreased </w:t>
      </w:r>
      <w:r>
        <w:rPr>
          <w:rFonts w:ascii="Times New Roman;sans-serif" w:hAnsi="Times New Roman;sans-serif"/>
          <w:b w:val="false"/>
          <w:color w:val="000000"/>
          <w:sz w:val="20"/>
        </w:rPr>
        <w:t xml:space="preserve">$2.4 million compared to the </w:t>
      </w:r>
      <w:r>
        <w:rPr>
          <w:rFonts w:ascii="Times New Roman;sans-serif" w:hAnsi="Times New Roman;sans-serif"/>
          <w:b w:val="false"/>
          <w:color w:val="242424"/>
          <w:sz w:val="20"/>
        </w:rPr>
        <w:t xml:space="preserve">same period in </w:t>
      </w:r>
      <w:r>
        <w:rPr>
          <w:rFonts w:ascii="Times New Roman;sans-serif" w:hAnsi="Times New Roman;sans-serif"/>
          <w:b w:val="false"/>
          <w:color w:val="000000"/>
          <w:sz w:val="20"/>
        </w:rPr>
        <w:t xml:space="preserve">2023, primarily due to a $2.5 million decrease at Progressive Leasing attributable to its reduction in the number of employees during the first quarter of 2024 as part of its restructuring activities. The decreases were partially offset by a </w:t>
      </w:r>
      <w:r>
        <w:rPr>
          <w:rFonts w:ascii="Times New Roman;sans-serif" w:hAnsi="Times New Roman;sans-serif"/>
          <w:b w:val="false"/>
          <w:color w:val="242424"/>
          <w:sz w:val="20"/>
        </w:rPr>
        <w:t>$0.2 million</w:t>
      </w:r>
      <w:r>
        <w:rPr>
          <w:color w:val="000000"/>
        </w:rPr>
        <w:t xml:space="preserve"> </w:t>
      </w:r>
      <w:r>
        <w:rPr>
          <w:rFonts w:ascii="Times New Roman;sans-serif" w:hAnsi="Times New Roman;sans-serif"/>
          <w:b w:val="false"/>
          <w:color w:val="000000"/>
          <w:sz w:val="20"/>
        </w:rPr>
        <w:t>increase at Four and our other businesses due to continued growth of operations.</w:t>
      </w:r>
    </w:p>
    <w:p>
      <w:pPr>
        <w:pStyle w:val="TextBody"/>
        <w:bidi w:val="0"/>
        <w:spacing w:lineRule="auto" w:line="288" w:before="100" w:after="283"/>
        <w:jc w:val="left"/>
        <w:rPr/>
      </w:pPr>
      <w:r>
        <w:rPr>
          <w:rFonts w:ascii="Times New Roman;sans-serif" w:hAnsi="Times New Roman;sans-serif"/>
          <w:b w:val="false"/>
          <w:color w:val="242424"/>
          <w:sz w:val="20"/>
        </w:rPr>
        <w:t xml:space="preserve">Professional services increased $2.0 million compared to the same period in </w:t>
      </w:r>
      <w:r>
        <w:rPr>
          <w:rFonts w:ascii="Times New Roman;sans-serif" w:hAnsi="Times New Roman;sans-serif"/>
          <w:b w:val="false"/>
          <w:color w:val="000000"/>
          <w:sz w:val="20"/>
        </w:rPr>
        <w:t>2023, due primarily to higher technology related costs. Professional services in the prior year period was also impacted by the benefit of $0.5 million of regulatory insurance recoveries that were received during the first quarter of 2023.</w:t>
      </w:r>
    </w:p>
    <w:p>
      <w:pPr>
        <w:pStyle w:val="TextBody"/>
        <w:bidi w:val="0"/>
        <w:spacing w:lineRule="auto" w:line="288" w:before="100" w:after="283"/>
        <w:jc w:val="left"/>
        <w:rPr/>
      </w:pPr>
      <w:r>
        <w:rPr>
          <w:rFonts w:ascii="Times New Roman;sans-serif" w:hAnsi="Times New Roman;sans-serif"/>
          <w:b w:val="false"/>
          <w:color w:val="242424"/>
          <w:sz w:val="20"/>
        </w:rPr>
        <w:t>The provision for loan losses increased $2.3 million</w:t>
      </w:r>
      <w:r>
        <w:rPr>
          <w:color w:val="000000"/>
        </w:rPr>
        <w:t xml:space="preserve"> </w:t>
      </w:r>
      <w:r>
        <w:rPr>
          <w:rFonts w:ascii="Times New Roman;sans-serif" w:hAnsi="Times New Roman;sans-serif"/>
          <w:b w:val="false"/>
          <w:color w:val="000000"/>
          <w:sz w:val="20"/>
        </w:rPr>
        <w:t xml:space="preserve">compared to the same period </w:t>
      </w:r>
      <w:r>
        <w:rPr>
          <w:rFonts w:ascii="Times New Roman;sans-serif" w:hAnsi="Times New Roman;sans-serif"/>
          <w:b w:val="false"/>
          <w:color w:val="242424"/>
          <w:sz w:val="20"/>
        </w:rPr>
        <w:t xml:space="preserve">in </w:t>
      </w:r>
      <w:r>
        <w:rPr>
          <w:rFonts w:ascii="Times New Roman;sans-serif" w:hAnsi="Times New Roman;sans-serif"/>
          <w:b w:val="false"/>
          <w:color w:val="000000"/>
          <w:sz w:val="20"/>
        </w:rPr>
        <w:t xml:space="preserve">2023. The increase is primarily the result of a </w:t>
      </w:r>
      <w:r>
        <w:rPr>
          <w:rFonts w:ascii="Times New Roman;sans-serif" w:hAnsi="Times New Roman;sans-serif"/>
          <w:b w:val="false"/>
          <w:color w:val="242424"/>
          <w:sz w:val="20"/>
        </w:rPr>
        <w:t>$1.9 million</w:t>
      </w:r>
      <w:r>
        <w:rPr>
          <w:color w:val="000000"/>
        </w:rPr>
        <w:t xml:space="preserve"> </w:t>
      </w:r>
      <w:r>
        <w:rPr>
          <w:rFonts w:ascii="Times New Roman;sans-serif" w:hAnsi="Times New Roman;sans-serif"/>
          <w:b w:val="false"/>
          <w:color w:val="000000"/>
          <w:sz w:val="20"/>
        </w:rPr>
        <w:t xml:space="preserve">increase at Four due to continued growth of the business. The provision for loan losses at Vive increased </w:t>
      </w:r>
      <w:r>
        <w:rPr>
          <w:rFonts w:ascii="Times New Roman;sans-serif" w:hAnsi="Times New Roman;sans-serif"/>
          <w:b w:val="false"/>
          <w:color w:val="242424"/>
          <w:sz w:val="20"/>
        </w:rPr>
        <w:t xml:space="preserve">$0.4 million due to higher delinquencies and write-offs compared to </w:t>
      </w:r>
      <w:r>
        <w:rPr>
          <w:rFonts w:ascii="Times New Roman;sans-serif" w:hAnsi="Times New Roman;sans-serif"/>
          <w:b w:val="false"/>
          <w:color w:val="000000"/>
          <w:sz w:val="20"/>
        </w:rPr>
        <w:t xml:space="preserve">the same period </w:t>
      </w:r>
      <w:r>
        <w:rPr>
          <w:rFonts w:ascii="Times New Roman;sans-serif" w:hAnsi="Times New Roman;sans-serif"/>
          <w:b w:val="false"/>
          <w:color w:val="242424"/>
          <w:sz w:val="20"/>
        </w:rPr>
        <w:t xml:space="preserve">in </w:t>
      </w:r>
      <w:r>
        <w:rPr>
          <w:rFonts w:ascii="Times New Roman;sans-serif" w:hAnsi="Times New Roman;sans-serif"/>
          <w:b w:val="false"/>
          <w:color w:val="000000"/>
          <w:sz w:val="20"/>
        </w:rPr>
        <w:t>2023.</w:t>
      </w:r>
    </w:p>
    <w:p>
      <w:pPr>
        <w:pStyle w:val="TextBody"/>
        <w:bidi w:val="0"/>
        <w:spacing w:lineRule="auto" w:line="288" w:before="100" w:after="283"/>
        <w:jc w:val="left"/>
        <w:rPr/>
      </w:pPr>
      <w:r>
        <w:rPr>
          <w:rFonts w:ascii="Times New Roman;sans-serif" w:hAnsi="Times New Roman;sans-serif"/>
          <w:b w:val="false"/>
          <w:color w:val="242424"/>
          <w:sz w:val="20"/>
        </w:rPr>
        <w:t xml:space="preserve">Restructuring expense increased $17.3 million due to additional restructuring activities during the </w:t>
      </w:r>
      <w:r>
        <w:rPr>
          <w:rFonts w:ascii="Times New Roman;sans-serif" w:hAnsi="Times New Roman;sans-serif"/>
          <w:b w:val="false"/>
          <w:color w:val="000000"/>
          <w:sz w:val="20"/>
        </w:rPr>
        <w:t xml:space="preserve">three months ended March 31, 2024. For the three months ended March 31, 2024, restructuring costs included $7.8 million associated with the early termination of an independent sales agent agreement, $6.0 million of operating lease right-of-use asset and other fixed asset impairment charges related to the reduction of Progressive Leasing office space, $4.1 million of employee severance within Progressive Leasing and </w:t>
      </w:r>
      <w:r>
        <w:rPr>
          <w:rFonts w:ascii="Times New Roman;sans-serif" w:hAnsi="Times New Roman;sans-serif"/>
          <w:b w:val="false"/>
          <w:color w:val="242424"/>
          <w:sz w:val="20"/>
        </w:rPr>
        <w:t>$0.1 million</w:t>
      </w:r>
      <w:r>
        <w:rPr>
          <w:color w:val="000000"/>
        </w:rPr>
        <w:t xml:space="preserve"> </w:t>
      </w:r>
      <w:r>
        <w:rPr>
          <w:rFonts w:ascii="Times New Roman;sans-serif" w:hAnsi="Times New Roman;sans-serif"/>
          <w:b w:val="false"/>
          <w:color w:val="000000"/>
          <w:sz w:val="20"/>
        </w:rPr>
        <w:t>of other restructuring costs. For the same period in 2023, restructuring costs were limited to $0.8 million of employee severance within Progressive Leasing.</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Other Costs and Expenses</w:t>
      </w:r>
    </w:p>
    <w:p>
      <w:pPr>
        <w:pStyle w:val="TextBody"/>
        <w:bidi w:val="0"/>
        <w:spacing w:lineRule="auto" w:line="288" w:before="100" w:after="283"/>
        <w:jc w:val="left"/>
        <w:rPr/>
      </w:pPr>
      <w:r>
        <w:rPr>
          <w:rFonts w:ascii="Times New Roman;sans-serif" w:hAnsi="Times New Roman;sans-serif"/>
          <w:b w:val="false"/>
          <w:i/>
          <w:color w:val="000000"/>
          <w:sz w:val="20"/>
        </w:rPr>
        <w:t>Depreciation of lease merchandise.</w:t>
      </w:r>
      <w:r>
        <w:rPr>
          <w:color w:val="000000"/>
        </w:rPr>
        <w:t xml:space="preserve"> </w:t>
      </w:r>
      <w:r>
        <w:rPr>
          <w:rFonts w:ascii="Times New Roman;sans-serif" w:hAnsi="Times New Roman;sans-serif"/>
          <w:b w:val="false"/>
          <w:color w:val="000000"/>
          <w:sz w:val="20"/>
        </w:rPr>
        <w:t>Depreciation of lease merchandise decreased by 0.9% during the three months ended March 31, 2024 compared to the same period in 2023. The decrease was primarily due to the decline in the size of the Company's lease portfolio, resulting from decreased consumer demand for many of the leasable products offered by Progressive Leasing's retail partners. As a percentage of total lease revenues and fees, depreciation of lease merchandise increased to 69.5% from 68.3% in the prior year quarter, primarily due to a normalized level of early buyouts during the three months ended March 31, 2024 as compared to a relatively lower level of early buyouts during the same period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jc w:val="left"/>
        <w:rPr/>
      </w:pPr>
      <w:r>
        <w:rPr>
          <w:rFonts w:ascii="Times New Roman;sans-serif" w:hAnsi="Times New Roman;sans-serif"/>
          <w:b w:val="false"/>
          <w:i/>
          <w:color w:val="000000"/>
          <w:sz w:val="20"/>
        </w:rPr>
        <w:t>Provision for lease merchandise write-offs</w:t>
      </w:r>
      <w:r>
        <w:rPr>
          <w:rFonts w:ascii="Times New Roman;sans-serif" w:hAnsi="Times New Roman;sans-serif"/>
          <w:b w:val="false"/>
          <w:color w:val="000000"/>
          <w:sz w:val="20"/>
        </w:rPr>
        <w:t>. The provision for lease merchandise write-offs increased $4.8 million compared to the same period in 2023. The provision for lease merchandise write-offs as a percentage of lease revenues increased to 7.0% during the first quarter of 2024 from 6.0% in the same period in 2023. The increase was due to higher write-offs compared to the lower write-offs during same period in 2023 that resulted from the Company tightening its lease decisioning in mid-2022. Given the significant economic uncertainty resulting from inflation, elevated interest rates for a prolonged period of time, the resumption of student loan repayment obligations, and the potential effects of such developments on Progressive Leasing's POS partners, customers, and business going forward, a high level of estimation was involved in determining the allowance as of March 31, 2024. Actual lease merchandise write-offs could differ materially from the allowance for those write-offs.</w:t>
      </w:r>
    </w:p>
    <w:p>
      <w:pPr>
        <w:pStyle w:val="TextBody"/>
        <w:bidi w:val="0"/>
        <w:spacing w:lineRule="auto" w:line="288" w:before="100" w:after="283"/>
        <w:jc w:val="left"/>
        <w:rPr/>
      </w:pPr>
      <w:r>
        <w:rPr>
          <w:rFonts w:ascii="Times New Roman;sans-serif" w:hAnsi="Times New Roman;sans-serif"/>
          <w:b w:val="false"/>
          <w:i/>
          <w:color w:val="000000"/>
          <w:sz w:val="20"/>
        </w:rPr>
        <w:t xml:space="preserve">Interest expense, net. </w:t>
      </w:r>
      <w:r>
        <w:rPr>
          <w:rFonts w:ascii="Times New Roman;sans-serif" w:hAnsi="Times New Roman;sans-serif"/>
          <w:b w:val="false"/>
          <w:color w:val="000000"/>
          <w:sz w:val="20"/>
        </w:rPr>
        <w:t>Information about interest expense and interest income is as follows:</w:t>
      </w:r>
    </w:p>
    <w:tbl>
      <w:tblPr>
        <w:tblW w:w="6941" w:type="dxa"/>
        <w:jc w:val="left"/>
        <w:tblInd w:w="0" w:type="dxa"/>
        <w:tblLayout w:type="fixed"/>
        <w:tblCellMar>
          <w:top w:w="28" w:type="dxa"/>
          <w:left w:w="28" w:type="dxa"/>
          <w:bottom w:w="28" w:type="dxa"/>
          <w:right w:w="28" w:type="dxa"/>
        </w:tblCellMar>
      </w:tblPr>
      <w:tblGrid>
        <w:gridCol w:w="870"/>
        <w:gridCol w:w="764"/>
        <w:gridCol w:w="766"/>
        <w:gridCol w:w="211"/>
        <w:gridCol w:w="616"/>
        <w:gridCol w:w="109"/>
        <w:gridCol w:w="109"/>
        <w:gridCol w:w="109"/>
        <w:gridCol w:w="109"/>
        <w:gridCol w:w="211"/>
        <w:gridCol w:w="616"/>
        <w:gridCol w:w="109"/>
        <w:gridCol w:w="109"/>
        <w:gridCol w:w="109"/>
        <w:gridCol w:w="109"/>
        <w:gridCol w:w="211"/>
        <w:gridCol w:w="541"/>
        <w:gridCol w:w="109"/>
        <w:gridCol w:w="109"/>
        <w:gridCol w:w="109"/>
        <w:gridCol w:w="109"/>
        <w:gridCol w:w="254"/>
        <w:gridCol w:w="257"/>
        <w:gridCol w:w="316"/>
      </w:tblGrid>
      <w:tr>
        <w:trPr/>
        <w:tc>
          <w:tcPr>
            <w:tcW w:w="8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Interest Expense, Net: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Interest Expense,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Earnings Before Income Tax Expense</w:t>
      </w:r>
    </w:p>
    <w:p>
      <w:pPr>
        <w:pStyle w:val="TextBody"/>
        <w:bidi w:val="0"/>
        <w:spacing w:lineRule="auto" w:line="288" w:before="100" w:after="283"/>
        <w:jc w:val="left"/>
        <w:rPr/>
      </w:pPr>
      <w:r>
        <w:rPr>
          <w:rFonts w:ascii="Times New Roman;sans-serif" w:hAnsi="Times New Roman;sans-serif"/>
          <w:b w:val="false"/>
          <w:color w:val="000000"/>
          <w:sz w:val="20"/>
        </w:rPr>
        <w:t>Information about our earnings before income tax expense by reportable segment is as follows:</w:t>
      </w:r>
      <w:r>
        <w:rPr>
          <w:color w:val="000000"/>
        </w:rPr>
        <w:t> </w:t>
      </w:r>
    </w:p>
    <w:tbl>
      <w:tblPr>
        <w:tblW w:w="9370" w:type="dxa"/>
        <w:jc w:val="center"/>
        <w:tblInd w:w="0" w:type="dxa"/>
        <w:tblLayout w:type="fixed"/>
        <w:tblCellMar>
          <w:top w:w="28" w:type="dxa"/>
          <w:left w:w="28" w:type="dxa"/>
          <w:bottom w:w="28" w:type="dxa"/>
          <w:right w:w="28" w:type="dxa"/>
        </w:tblCellMar>
      </w:tblPr>
      <w:tblGrid>
        <w:gridCol w:w="1555"/>
        <w:gridCol w:w="1365"/>
        <w:gridCol w:w="1369"/>
        <w:gridCol w:w="211"/>
        <w:gridCol w:w="721"/>
        <w:gridCol w:w="109"/>
        <w:gridCol w:w="109"/>
        <w:gridCol w:w="109"/>
        <w:gridCol w:w="109"/>
        <w:gridCol w:w="211"/>
        <w:gridCol w:w="721"/>
        <w:gridCol w:w="109"/>
        <w:gridCol w:w="109"/>
        <w:gridCol w:w="109"/>
        <w:gridCol w:w="109"/>
        <w:gridCol w:w="211"/>
        <w:gridCol w:w="796"/>
        <w:gridCol w:w="109"/>
        <w:gridCol w:w="109"/>
        <w:gridCol w:w="109"/>
        <w:gridCol w:w="109"/>
        <w:gridCol w:w="293"/>
        <w:gridCol w:w="293"/>
        <w:gridCol w:w="316"/>
      </w:tblGrid>
      <w:tr>
        <w:trPr/>
        <w:tc>
          <w:tcPr>
            <w:tcW w:w="15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42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EARNINGS BEFORE INCOME TAX EXPENSE: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Progressive Leasing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Earnings Before Income Tax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loss before income tax expense within Other primarily relates to losses from our other strategic operations and Four. Factors impacting the change in earnings before income taxes for each reporting segment are discussed above.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Income Tax Expense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decreased to $9.6 million for the three months ended March 31, 2024 compared to $19.6 million in the prior year comparable period, primarily due to lower earnings before income tax expense. The effective income tax rate for the three months ended March 31, 2024 was 30.4% compared to 28.9% for the same period in 2023. The increase in the effective tax rate was primarily driven by discrete income tax expense related to uncertain tax position liabilities on lower earnings before income tax, partially offset by a favorable change in income tax expense related to stock-based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Overview of Financial Position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major changes in the condensed consolidated balance sheet from December 31, 2023 to March 31, 2024 include: </w:t>
      </w:r>
    </w:p>
    <w:p>
      <w:pPr>
        <w:pStyle w:val="TextBody"/>
        <w:bidi w:val="0"/>
        <w:spacing w:lineRule="auto" w:line="288" w:before="100" w:after="283"/>
        <w:ind w:left="0" w:right="0" w:hanging="360"/>
        <w:jc w:val="left"/>
        <w:rPr/>
      </w:pPr>
      <w:r>
        <w:rPr>
          <w:color w:val="242424"/>
        </w:rPr>
        <w:t>•</w:t>
      </w:r>
      <w:r>
        <w:rPr>
          <w:rFonts w:ascii="Times New Roman;sans-serif" w:hAnsi="Times New Roman;sans-serif"/>
          <w:b w:val="false"/>
          <w:color w:val="000000"/>
          <w:sz w:val="20"/>
        </w:rPr>
        <w:t xml:space="preserve">Cash and cash equivalents increased $97.4 million to $252.8 million during the three months ended March 31, 2024. For additional information, refer to the "Liquidity and Capital Resources" section below. </w:t>
      </w:r>
    </w:p>
    <w:p>
      <w:pPr>
        <w:pStyle w:val="TextBody"/>
        <w:bidi w:val="0"/>
        <w:spacing w:lineRule="auto" w:line="288" w:before="100" w:after="283"/>
        <w:ind w:left="0" w:right="0" w:hanging="360"/>
        <w:jc w:val="left"/>
        <w:rPr/>
      </w:pPr>
      <w:r>
        <w:rPr>
          <w:color w:val="242424"/>
        </w:rPr>
        <w:t>•</w:t>
      </w:r>
      <w:r>
        <w:rPr>
          <w:rFonts w:ascii="Times New Roman;sans-serif" w:hAnsi="Times New Roman;sans-serif"/>
          <w:b w:val="false"/>
          <w:color w:val="000000"/>
          <w:sz w:val="20"/>
        </w:rPr>
        <w:t>Lease merchandise, net of accumulated depreciation and allowances, decreased $76.0 million due primarily to a 23.6% decrease in Progressive Leasing's GMV for the first quarter of 2024 as compared to the fourth quarter of 2023 as well as seasonally higher early purchase exercises during the first quarter.</w:t>
      </w:r>
    </w:p>
    <w:p>
      <w:pPr>
        <w:pStyle w:val="TextBody"/>
        <w:bidi w:val="0"/>
        <w:spacing w:lineRule="auto" w:line="288" w:before="100" w:after="283"/>
        <w:ind w:left="0" w:right="0" w:hanging="360"/>
        <w:jc w:val="left"/>
        <w:rPr/>
      </w:pPr>
      <w:r>
        <w:rPr>
          <w:color w:val="242424"/>
        </w:rPr>
        <w:t>•</w:t>
      </w:r>
      <w:r>
        <w:rPr>
          <w:rFonts w:ascii="Times New Roman;sans-serif" w:hAnsi="Times New Roman;sans-serif"/>
          <w:b w:val="false"/>
          <w:color w:val="000000"/>
          <w:sz w:val="20"/>
        </w:rPr>
        <w:t>Income tax receivable decreased $21.3 million primarily due to current tax expense and net tax refunds received during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our primary capital requirements will consist of:</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 xml:space="preserve">Reinvesting in our business, including buying merchandise for the operations of Progressive Leasing. Because we believe Progressive Leasing will continue to grow over the long-term, we expect that the need for additional lease merchandise will remain a major capital requirement; </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Making merger and acquisition investment(s) to further broaden our product offerings;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Returning excess cash to shareholders through periodically repurchasing stock and/or paying dividends.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capital requirements include (i) expenditures related to software development; (ii) expenditures related to our corporate operating activities; (iii) personnel expenditures; (iv) income tax payments; (v) funding of loans receivable for Vive; and (vi) servicing our outstanding debt obligations.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capital requirements have been financed through:</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cash flows from operations;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private debt offerings;</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bank debt; and</w:t>
      </w:r>
    </w:p>
    <w:p>
      <w:pPr>
        <w:pStyle w:val="TextBody"/>
        <w:bidi w:val="0"/>
        <w:spacing w:lineRule="auto" w:line="288" w:before="100" w:after="283"/>
        <w:ind w:left="0" w:right="0" w:hanging="360"/>
        <w:jc w:val="left"/>
        <w:rPr/>
      </w:pPr>
      <w:r>
        <w:rPr>
          <w:color w:val="000000"/>
        </w:rPr>
        <w:t>•</w:t>
      </w:r>
      <w:r>
        <w:rPr>
          <w:rFonts w:ascii="Times New Roman;sans-serif" w:hAnsi="Times New Roman;sans-serif"/>
          <w:b w:val="false"/>
          <w:color w:val="000000"/>
          <w:sz w:val="20"/>
        </w:rPr>
        <w:t>stock offerings.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Company had $252.8 million of cash, $350.0 million of availability under the Revolving Facility, and $600.0 million of indebtedness.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Provided by Operating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operating activities was $135.7 million and $157.4 million during the three months ended March 31, 2024 and 2023, respectively. The $21.7 million decrease in operating cash flows was primarily due to the $7.3 million decrease in cash received on accounts receivable and $6.9 million increase in cash paid on accounts payable compared to the same period in 2023. Operating cash flows were positively impacted by $3.8 million of tax refunds received during the three months ended March 31, 2024, compared to $2.5 million of cash paid for taxes during the same period in 2023. Other changes in cash provided by operating activities are discussed above in our discussion of results for the three months ended March 31, 2024.</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Cash Used in Investing Activities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was $3.6 million and $0.6 million during the three months ended March 31, 2024 and 2023, respectively. The $3.0 million increase in investing cash outflows was primarily the result of a $33.9 million increase in cash investments in loans receivable and a $0.4 million increase in outflows on purchases of property and equipment. These cash outflow increases were partially offset by a $31.3 million increase in proceeds from loans receivable.</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Cash Used in Financing Activities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was $34.7 million during the three months ended March 31, 2024 compared to $38.9 million during the same period in 2023. Cash used in financing activities during the three months ended March 31, 2024 was primarily for the Company's repurchase of $24.4 million of its common stock and $5.2 million paid for cash dividends, compared to $36.5 million of share repurchases and no cash paid for dividends during the same period in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Share Repurchases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purchase our stock in the market from time to time as authorized by our Board of Directors. Effective November 3, 2021, the Company announced that its Board of Directors had authorized a new $1 billion share repurchase program that replaced the previous $300 million repurchase program. On February 21, 2024, the Company's Board of Directors reauthorized the repurchase of Company common stock at an aggregate purchase price of up to $500 million under the Company's existing share repurchase program, with such reauthorized share repurchase program to be extended for a period of three years from February 21, 2024, or until the $500 million aggregate purchase price of Company common stock purchased pursuant to the reauthorized share repurchase program has been met, whichever occurs first. The Company repurchased 780,562 shares for $24.4 million during the three months ended March 31, 2024. That amount does not include any excise tax that may be assessed on those repurchases. As of March 31, 2024, we had the authority to purchase additional shares up to our remaining authorization limit of $475.6 million.</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Dividends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21, 2024, our Board of Directors declared a quarterly cash dividend in the amount of $0.12 per share of outstanding common stock, which was paid on March 28, 2024. Aggregate dividend payments during the three months ended March 31, 2024 were $5.2 million. While we expect to continue paying quarterly cash dividends in future periods, the future payment of dividends, if permitted, will be at the sole discretion of our Board of Directors and will depend on our capital allocation strategy at that time as well as other factors, including our earnings, financial condition, and other considerations that our Board of Directors deems relevant.</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Debt Financing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24, 2020, the Company entered into a credit agreement with a consortium of lenders providing for a $350.0 million senior revolving credit facility, under which revolving borrowings became available on the date of the completion of the separation and distribution transaction pursuant to which our former Aaron's Business segment was spun-off into a separate publicly-traded company, and under which all borrowings and commitments will mature or terminate on November 24, 2025.</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the Company had no outstanding balance and $350.0 million remaining available for borrowings on the Revolving Facility. The Revolving Facility includes an uncommitted incremental facility increase option ("Incremental Facilities") which, subject to certain terms and conditions, permits the Company at any time prior to the maturity date to request an increase in extensions of credit available thereunder by an aggregate additional principal amount of up to $300.0 million.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Revolving Facility contains certain financial covenants, which include requirements that the Company maintain ratios of (i) total net debt to EBITDA of no more than 2.50:1.00 and (ii) consolidated interest coverage of no less than 3.00:1.00. The Company will be in default under the Revolving Facility if it fails to comply with these covenants, and all borrowings outstanding may become due immediately. Additionally, under the Revolving Facility, if the total net debt to EBITDA, as defined by the Revolving Facility, exceeds 1.25, the revolver becomes fully secured for the remaining duration of the Revolving Facility term. As of June 30, 2022, the Company exceeded the 1.25 total net debt to EBITDA ratio and the Revolving Facility became fully secured. At March 31, 2024, we were in compliance with the financial covenants set forth in the Revolving Facility and believe that we will continue to be in compliance in the future.</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26, 2021, the Company entered into an indenture in connection with its offering of $600 million aggregate principal amount of its senior unsecured notes due 2029 (the "Senior Notes"). The Senior Notes were issued at 100.0% of their par value with a stated fixed annual interest rate of 6.00%. Interest accrues on the outstanding balance and is payable semi-annually. The Senior Notes are general unsecured obligations of the Company and are guaranteed by certain of the Company's existing and future domestic subsidiaries.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indenture discussed above contains various other covenants and obligations to which the Company and its subsidiaries are subject while the Senior Notes are outstanding. The covenants in the indenture may limit the extent to which, or the ability of the Company and its subsidiaries to, among other things: (i) incur additional debt and guarantee debt; (ii) pay dividends or make other distributions or repurchase or redeem capital stock; (iii) prepay, redeem or repurchase certain debt; (iv) issue certain preferred stock or similar equity securities; (v) make loans and investments; (vi) sell assets; (vii) incur liens; (viii) enter into transactions with affiliates; (ix) enter into agreements restricting the ability of the Company’s subsidiaries to pay dividends; and (x) consolidate, merge or sell all or substantially all of the Company’s assets. The indenture also contains customary events of default for transactions of this type and amount. We were in compliance with these covenants at March 31, 2024 and believe that we will continue to be in compliance in the future.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Commitments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we received net tax refunds of $3.8 million. Within the next nine months, we anticipate making estimated tax payments of $51.1 million for United States federal income taxes and state income taxes. </w:t>
      </w:r>
    </w:p>
    <w:p>
      <w:pPr>
        <w:pStyle w:val="TextBody"/>
        <w:bidi w:val="0"/>
        <w:spacing w:lineRule="auto" w:line="288" w:before="100" w:after="283"/>
        <w:jc w:val="left"/>
        <w:rPr/>
      </w:pPr>
      <w:r>
        <w:rPr>
          <w:rFonts w:ascii="Times New Roman;sans-serif" w:hAnsi="Times New Roman;sans-serif"/>
          <w:b w:val="false"/>
          <w:color w:val="000000"/>
          <w:sz w:val="20"/>
        </w:rPr>
        <w:t>Deferred income tax liabilities as of March 31, 2024 were</w:t>
      </w:r>
      <w:r>
        <w:rPr>
          <w:color w:val="EE2724"/>
        </w:rPr>
        <w:t xml:space="preserve"> </w:t>
      </w:r>
      <w:r>
        <w:rPr>
          <w:rFonts w:ascii="Times New Roman;sans-serif" w:hAnsi="Times New Roman;sans-serif"/>
          <w:b w:val="false"/>
          <w:color w:val="000000"/>
          <w:sz w:val="20"/>
        </w:rPr>
        <w:t>$95.7 million</w:t>
      </w:r>
      <w:r>
        <w:rPr>
          <w:rFonts w:ascii="Times New Roman;sans-serif" w:hAnsi="Times New Roman;sans-serif"/>
          <w:b w:val="false"/>
          <w:color w:val="EE2724"/>
          <w:sz w:val="20"/>
        </w:rPr>
        <w:t xml:space="preserve">. </w:t>
      </w:r>
      <w:r>
        <w:rPr>
          <w:rFonts w:ascii="Times New Roman;sans-serif" w:hAnsi="Times New Roman;sans-serif"/>
          <w:b w:val="false"/>
          <w:color w:val="000000"/>
          <w:sz w:val="20"/>
        </w:rPr>
        <w:t>Deferred income tax liabilities are calculated based on temporary differences between the tax basis of assets and liabilities and their respective book basis, which will result in taxable amounts in future years when the liabilities are settled at their reported financial statement amounts. The results of these calculations do not have a direct connection with the amount of cash taxes to be paid in any future periods.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Leases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lease management and information technology space for corporate functions as well as storage space for our hub facilities under operating leases expiring at various times through 2027. Our corporate and segment management office leases contain renewal options for additional periods ranging from three to five years.</w:t>
      </w: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Contractual Obligations and Commitments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interest payments on the Company's variable-rate debt are based on a rate per annum equal to, at our option, (i) the Secured Overnight Financing Rate ("SOFR") plus a margin within the range of 1.5% to 2.5% for revolving loans, based on total leverage, or (ii) the administrative agent's base rate plus a margin ranging from 0.5% to 1.5%, as specified in the agreement. Future interest payments related to our Revolving Facility are based on the borrowings outstanding at that time. Future interest payments may be different depending on future borrowing activity and interest rates. The Company had no outstanding borrowings under the Revolving Facility as of March 31, 2024.</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26, 2021, the Company issued $600 million aggregate principal amount of Senior Notes that bear a fixed annual interest rate of 6.00%. Interest will accrue on the outstanding balance and will be payable semi-annually. The Senior Notes will mature on November 15, 2029.</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 long-term commitments to purchase merchandise nor does it have significant purchase agreements that specify minimum quantities or set prices that exceed our expected requirements for three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Unfunded Lending Commitments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through its Vive business, had unconditionally cancellable unfunded lending commitments totaling approximately $527.4 million and $523.9 million as of March 31, 2024 and December 31, 2023, respectively, that do not give rise to revenues and cash flows. These unfunded commitments arise in the ordinary course of business from credit card agreements with individual cardholders that give them the ability to borrow, against unused amounts, up to the maximum credit limit assigned to their account. While these unfunded amounts represented the total available unused lines of credit, the Company does not anticipate that all cardholders will utilize their entire available line at any given point in time. Commitments to extend unsecured credit are agreements to lend to a cardholder so long as there is no violation of any condition established in the contract. Commitments generally have fixed expiration dates or other termination clauses. Since many of the commitments are expected to expire without being drawn upon, the total commitment amounts do not necessarily represent future cash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Refer to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Recent Accounting Pronouncements</w:t>
      </w:r>
      <w:r>
        <w:rPr>
          <w:color w:val="000000"/>
        </w:rPr>
        <w:t xml:space="preserv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1 to the condensed consolidated financial statements for a discussion of recently issued accounting pronouncements, including pronouncements that were adopted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no outstanding borrowings under our Revolving Facility. Borrowings under the Revolving Facility are indexed to the SOFR or the prime rate, which exposes us to the risk of increased interest costs if interest rates rise. Based on the fact that the Company had no variable-rate debt outstanding as of March 31, 2024, a hypothetical 1.0% increase or decrease in interest rates would not affect interest expense.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do not use any significant market risk sensitive instruments to hedge commodity, foreign currency or other risks, and hold no market risk sensitive instruments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Disclosure Controls and Procedures.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of the Company’s disclosure controls and procedures, as defined in Rule 13a-15(e) under the Securities Exchange Act of 1934, as amended, was carried out by management, with the participation of the Chief Executive Officer ("CEO") and Chief Financial Officer ("CFO"), as of the end of the period covered by this Quarterly Report on Form 10-Q.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evaluation is performed to determine if our disclosure controls and procedures are effective to provide reasonable assurance that information required to be disclosed by the Company in the reports that it files or submits under the Securities Exchange Act of 1934, as amended, is accumulated and communicated to management, including our CEO and CFO, as appropriate, to allow timely decisions regarding required disclosures and are effective to provide reasonable assurance that such information is recorded, processed, summarized and reported within the time periods specified by the SEC’s rules and forms. 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 </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management’s evaluation, the CEO and CFO concluded that the Company’s disclosure controls and procedures were effective as of the date of the evaluation to provide reasonable assurance that the objectives of disclosure controls and procedures are met.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Company’s internal control over financial reporting, as defined in Rule 13a-15(f) under the Securities Exchange Act of 1934, during the three months ended March 31, 2024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are party to various legal proceedings arising in the ordinary course of business. While any proceeding contains an element of uncertainty, we do not currently believe that any of the outstanding legal proceedings to which we are a party will have a material adverse impact on our business, financial position or results of operations. However, an adverse resolution of a number of these items may have a material adverse impact on our business, financial position or results of operations. For further information, see Note 4 in the accompanying condensed consolidated financial statements under the heading "Legal and Regulatory Proceedings," which discussion is incorporated by reference in response 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99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any updates to its risk factors disclosure from that previously reported in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our share repurchase activity for the three months ended March 31, 2024:</w:t>
      </w:r>
    </w:p>
    <w:tbl>
      <w:tblPr>
        <w:tblW w:w="10205" w:type="dxa"/>
        <w:jc w:val="center"/>
        <w:tblInd w:w="0" w:type="dxa"/>
        <w:tblLayout w:type="fixed"/>
        <w:tblCellMar>
          <w:top w:w="28" w:type="dxa"/>
          <w:left w:w="28" w:type="dxa"/>
          <w:bottom w:w="28" w:type="dxa"/>
          <w:right w:w="28" w:type="dxa"/>
        </w:tblCellMar>
      </w:tblPr>
      <w:tblGrid>
        <w:gridCol w:w="641"/>
        <w:gridCol w:w="518"/>
        <w:gridCol w:w="527"/>
        <w:gridCol w:w="640"/>
        <w:gridCol w:w="459"/>
        <w:gridCol w:w="461"/>
        <w:gridCol w:w="342"/>
        <w:gridCol w:w="659"/>
        <w:gridCol w:w="176"/>
        <w:gridCol w:w="984"/>
        <w:gridCol w:w="832"/>
        <w:gridCol w:w="834"/>
        <w:gridCol w:w="424"/>
        <w:gridCol w:w="2389"/>
        <w:gridCol w:w="319"/>
      </w:tblGrid>
      <w:tr>
        <w:trPr/>
        <w:tc>
          <w:tcPr>
            <w:tcW w:w="6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238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16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Period</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w:t>
            </w:r>
          </w:p>
        </w:tc>
        <w:tc>
          <w:tcPr>
            <w:tcW w:w="11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Average Price Paid per Share</w:t>
            </w:r>
          </w:p>
        </w:tc>
        <w:tc>
          <w:tcPr>
            <w:tcW w:w="2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Number of Shares Purchased as Part of Publicly Announced Plans or Programs</w:t>
            </w:r>
          </w:p>
        </w:tc>
        <w:tc>
          <w:tcPr>
            <w:tcW w:w="313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Maximum Dollar Value of Shares that May Yet Be Purchased Under the Plans or Programs </w:t>
            </w:r>
            <w:r>
              <w:rPr>
                <w:rFonts w:ascii="Times New Roman;sans-serif" w:hAnsi="Times New Roman;sans-serif"/>
                <w:b/>
                <w:color w:val="000000"/>
                <w:sz w:val="10"/>
              </w:rPr>
              <w:t>1</w:t>
            </w:r>
          </w:p>
        </w:tc>
      </w:tr>
      <w:tr>
        <w:trPr/>
        <w:tc>
          <w:tcPr>
            <w:tcW w:w="16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through January 31, 2024</w:t>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197,702,595 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through February 29, 2024</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492,492,029 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through March 31, 2024</w:t>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530,562 </w:t>
            </w:r>
          </w:p>
        </w:tc>
        <w:tc>
          <w:tcPr>
            <w:tcW w:w="4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530,562 </w:t>
            </w:r>
          </w:p>
        </w:tc>
        <w:tc>
          <w:tcPr>
            <w:tcW w:w="8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475,563,100 </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780,562 </w:t>
            </w:r>
          </w:p>
        </w:tc>
        <w:tc>
          <w:tcPr>
            <w:tcW w:w="4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16"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780,562 </w:t>
            </w:r>
          </w:p>
        </w:tc>
        <w:tc>
          <w:tcPr>
            <w:tcW w:w="83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32" w:type="dxa"/>
            <w:gridSpan w:val="3"/>
            <w:tcBorders>
              <w:top w:val="single" w:sz="8" w:space="0" w:color="000000"/>
              <w:bottom w:val="sing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90"/>
        <w:jc w:val="left"/>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Share repurchases are conducted under authorizations made from time to time by the Company’s Board of Directors. The authorization effective November 3, 2021, provided the Company with the ability to repurchase shares up to a maximum amount of $1 billion. On February 21, 2024, the Company announced that its Board of Directors had reauthorized the repurchase of Company common stock up to an aggregate purchase price of $500 million under the Company's existing share repurchase program. Subject to the terms of the Board's authorization and applicable law, repurchases may be made at such times and in such amounts as the Company deems appropriate. Repurchases may be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8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307"/>
        <w:gridCol w:w="269"/>
        <w:gridCol w:w="270"/>
        <w:gridCol w:w="109"/>
        <w:gridCol w:w="109"/>
        <w:gridCol w:w="109"/>
        <w:gridCol w:w="2680"/>
        <w:gridCol w:w="2628"/>
        <w:gridCol w:w="3724"/>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EXHIBIT</w:t>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2"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2" w:type="dxa"/>
            <w:gridSpan w:val="3"/>
            <w:tcBorders/>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11.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12.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21.htm">
              <w:r>
                <w:rPr>
                  <w:rStyle w:val="InternetLink"/>
                  <w:rFonts w:ascii="Times New Roman;sans-serif" w:hAnsi="Times New Roman;sans-serif"/>
                  <w:b w:val="false"/>
                  <w:color w:val="0000FF"/>
                  <w:sz w:val="20"/>
                  <w:u w:val="single"/>
                </w:rPr>
                <w:t>Certification of Chief Executive Officer pursuant to 18 U.S.C. 1350, as adopted pursuant to Section 906 of the Sarbanes-Oxley Act of 2002.</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1exhibit322.htm">
              <w:r>
                <w:rPr>
                  <w:rStyle w:val="InternetLink"/>
                  <w:rFonts w:ascii="Times New Roman;sans-serif" w:hAnsi="Times New Roman;sans-serif"/>
                  <w:b w:val="false"/>
                  <w:color w:val="0000FF"/>
                  <w:sz w:val="20"/>
                  <w:u w:val="single"/>
                </w:rPr>
                <w:t>Certification of Chief Financial Officer pursuant to 18 U.S.C. 1350, as adopted pursuant to Section 906 of the Sarbanes-Oxley Act of 2002.</w:t>
              </w:r>
            </w:hyperlink>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Labels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from this Quarterly Report on Form 10-Q for the quarter ended March 31, 2024, formatted in Inline XBRL (included in Exhibit 101)</w:t>
            </w:r>
          </w:p>
        </w:tc>
      </w:tr>
      <w:tr>
        <w:trPr/>
        <w:tc>
          <w:tcPr>
            <w:tcW w:w="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747"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286"/>
        <w:gridCol w:w="286"/>
        <w:gridCol w:w="286"/>
        <w:gridCol w:w="884"/>
        <w:gridCol w:w="884"/>
        <w:gridCol w:w="127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PROG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MATT SEWELL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Sewell</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Vice President, Financial Reporting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13a-14(a)/15d-14(a)</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20"/>
        <w:gridCol w:w="420"/>
        <w:gridCol w:w="420"/>
        <w:gridCol w:w="420"/>
        <w:gridCol w:w="420"/>
        <w:gridCol w:w="420"/>
        <w:gridCol w:w="841"/>
        <w:gridCol w:w="701"/>
        <w:gridCol w:w="701"/>
        <w:gridCol w:w="1124"/>
        <w:gridCol w:w="733"/>
        <w:gridCol w:w="733"/>
        <w:gridCol w:w="733"/>
        <w:gridCol w:w="733"/>
        <w:gridCol w:w="104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Steven A. Michaels, certify that: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PROG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1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tbl>
      <w:tblPr>
        <w:tblW w:w="3914"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607"/>
        <w:gridCol w:w="607"/>
        <w:gridCol w:w="85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 Michaels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 Michaels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283"/>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13a-14(a)/15d-14(a)</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420"/>
        <w:gridCol w:w="420"/>
        <w:gridCol w:w="420"/>
        <w:gridCol w:w="420"/>
        <w:gridCol w:w="420"/>
        <w:gridCol w:w="420"/>
        <w:gridCol w:w="840"/>
        <w:gridCol w:w="700"/>
        <w:gridCol w:w="700"/>
        <w:gridCol w:w="1124"/>
        <w:gridCol w:w="733"/>
        <w:gridCol w:w="733"/>
        <w:gridCol w:w="733"/>
        <w:gridCol w:w="733"/>
        <w:gridCol w:w="1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Garner, certify that: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PROG Holdings,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73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10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jc w:val="left"/>
        <w:rPr>
          <w:color w:val="000000"/>
        </w:rPr>
      </w:pPr>
      <w:r>
        <w:rPr>
          <w:color w:val="000000"/>
        </w:rPr>
        <w:t> </w:t>
      </w:r>
    </w:p>
    <w:tbl>
      <w:tblPr>
        <w:tblW w:w="3854"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Steven A. Michaels, Chief Executive Officer of PROG Holdings, Inc. (the "Company"), certify, pursuant to Section 906 of the Sarbanes-Oxley Act of 2002, 18 U.S.C. Section 1350 that: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2024 (the "Report") fully complies with the requirements of Section 13(a) of the Securities Exchange Act of 1934 (15 U.S.C. 78m); and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285" w:type="dxa"/>
        <w:jc w:val="left"/>
        <w:tblInd w:w="0" w:type="dxa"/>
        <w:tblLayout w:type="fixed"/>
        <w:tblCellMar>
          <w:top w:w="28" w:type="dxa"/>
          <w:left w:w="28" w:type="dxa"/>
          <w:bottom w:w="28" w:type="dxa"/>
          <w:right w:w="28" w:type="dxa"/>
        </w:tblCellMar>
      </w:tblPr>
      <w:tblGrid>
        <w:gridCol w:w="216"/>
        <w:gridCol w:w="191"/>
        <w:gridCol w:w="192"/>
        <w:gridCol w:w="429"/>
        <w:gridCol w:w="429"/>
        <w:gridCol w:w="431"/>
        <w:gridCol w:w="109"/>
        <w:gridCol w:w="109"/>
        <w:gridCol w:w="109"/>
        <w:gridCol w:w="607"/>
        <w:gridCol w:w="607"/>
        <w:gridCol w:w="856"/>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Steven A. Michaels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Steven A. Michaels</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 AS ADOPTED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906 OF THE SARBANES-OXLEY ACT OF 2002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 Brian Garner, Chief Financial Officer of PROG Holdings, Inc. (the "Company"), certify, pursuant to Section 906 of the Sarbanes-Oxley Act of 2002, 18 U.S.C. Section 1350 that:</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Quarterly Report on Form 10-Q of the Company for the quarter ended March 31, 2024 (the "Report") fully complies with the requirements of Section 13(a) of the Securities Exchange Act of 1934 (15 U.S.C. 78m); 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181" w:type="dxa"/>
        <w:jc w:val="left"/>
        <w:tblInd w:w="0" w:type="dxa"/>
        <w:tblLayout w:type="fixed"/>
        <w:tblCellMar>
          <w:top w:w="28" w:type="dxa"/>
          <w:left w:w="28" w:type="dxa"/>
          <w:bottom w:w="28" w:type="dxa"/>
          <w:right w:w="28" w:type="dxa"/>
        </w:tblCellMar>
      </w:tblPr>
      <w:tblGrid>
        <w:gridCol w:w="200"/>
        <w:gridCol w:w="177"/>
        <w:gridCol w:w="178"/>
        <w:gridCol w:w="429"/>
        <w:gridCol w:w="429"/>
        <w:gridCol w:w="431"/>
        <w:gridCol w:w="109"/>
        <w:gridCol w:w="109"/>
        <w:gridCol w:w="109"/>
        <w:gridCol w:w="587"/>
        <w:gridCol w:w="587"/>
        <w:gridCol w:w="83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24,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Garner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17541</Words>
  <Characters>99365</Characters>
  <CharactersWithSpaces>115764</CharactersWithSpaces>
  <Paragraphs>2032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