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7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9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62" w:lineRule="exact"/>
        <w:rPr>
          <w:sz w:val="24"/>
          <w:szCs w:val="24"/>
          <w:color w:val="auto"/>
        </w:rPr>
      </w:pPr>
    </w:p>
    <w:p>
      <w:pPr>
        <w:ind w:left="4340"/>
        <w:spacing w:after="0"/>
        <w:rPr>
          <w:sz w:val="20"/>
          <w:szCs w:val="20"/>
          <w:color w:val="auto"/>
        </w:rPr>
      </w:pPr>
      <w:r>
        <w:rPr>
          <w:rFonts w:ascii="Arial" w:cs="Arial" w:eastAsia="Arial" w:hAnsi="Arial"/>
          <w:sz w:val="16"/>
          <w:szCs w:val="16"/>
          <w:color w:val="auto"/>
        </w:rPr>
        <w:t>________________________________</w:t>
      </w:r>
    </w:p>
    <w:p>
      <w:pPr>
        <w:spacing w:after="0" w:line="4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95" w:lineRule="exact"/>
        <w:rPr>
          <w:sz w:val="24"/>
          <w:szCs w:val="24"/>
          <w:color w:val="auto"/>
        </w:rPr>
      </w:pPr>
    </w:p>
    <w:p>
      <w:pPr>
        <w:ind w:left="4320"/>
        <w:spacing w:after="0"/>
        <w:rPr>
          <w:sz w:val="20"/>
          <w:szCs w:val="20"/>
          <w:color w:val="auto"/>
        </w:rPr>
      </w:pPr>
      <w:r>
        <w:rPr>
          <w:rFonts w:ascii="Arial" w:cs="Arial" w:eastAsia="Arial" w:hAnsi="Arial"/>
          <w:sz w:val="16"/>
          <w:szCs w:val="16"/>
          <w:color w:val="auto"/>
        </w:rPr>
        <w:t>________________________________</w:t>
      </w:r>
    </w:p>
    <w:p>
      <w:pPr>
        <w:spacing w:after="0" w:line="175" w:lineRule="exact"/>
        <w:rPr>
          <w:sz w:val="24"/>
          <w:szCs w:val="24"/>
          <w:color w:val="auto"/>
        </w:rPr>
      </w:pPr>
    </w:p>
    <w:p>
      <w:pPr>
        <w:ind w:left="640"/>
        <w:spacing w:after="0"/>
        <w:rPr>
          <w:sz w:val="20"/>
          <w:szCs w:val="20"/>
          <w:color w:val="auto"/>
        </w:rPr>
      </w:pPr>
      <w:r>
        <w:rPr>
          <w:rFonts w:ascii="Arial" w:cs="Arial" w:eastAsia="Arial" w:hAnsi="Arial"/>
          <w:sz w:val="21"/>
          <w:szCs w:val="21"/>
          <w:b w:val="1"/>
          <w:bCs w:val="1"/>
          <w:color w:val="auto"/>
        </w:rPr>
        <w:t>QUARTERLY REPORT PURSUANT TO SECTION 13 OR 15(d) OF THE SECURITIES EXCHANGE ACT OF</w:t>
      </w:r>
    </w:p>
    <w:p>
      <w:pPr>
        <w:ind w:left="640" w:hanging="614"/>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22"/>
          <w:szCs w:val="22"/>
          <w:b w:val="1"/>
          <w:bCs w:val="1"/>
          <w:color w:val="auto"/>
        </w:rPr>
        <w:t>1934</w:t>
      </w:r>
    </w:p>
    <w:p>
      <w:pPr>
        <w:spacing w:after="0" w:line="8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September 30, 2023</w:t>
      </w:r>
    </w:p>
    <w:p>
      <w:pPr>
        <w:spacing w:after="0" w:line="6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74" w:lineRule="exact"/>
        <w:rPr>
          <w:sz w:val="24"/>
          <w:szCs w:val="24"/>
          <w:color w:val="auto"/>
        </w:rPr>
      </w:pPr>
    </w:p>
    <w:p>
      <w:pPr>
        <w:ind w:left="640"/>
        <w:spacing w:after="0"/>
        <w:rPr>
          <w:sz w:val="20"/>
          <w:szCs w:val="20"/>
          <w:color w:val="auto"/>
        </w:rPr>
      </w:pPr>
      <w:r>
        <w:rPr>
          <w:rFonts w:ascii="Arial" w:cs="Arial" w:eastAsia="Arial" w:hAnsi="Arial"/>
          <w:sz w:val="21"/>
          <w:szCs w:val="21"/>
          <w:b w:val="1"/>
          <w:bCs w:val="1"/>
          <w:color w:val="auto"/>
        </w:rPr>
        <w:t>TRANSITION REPORT PURSUANT TO SECTION 13 OR 15(d) OF THE SECURITIES EXCHANGE ACT OF</w:t>
      </w:r>
    </w:p>
    <w:p>
      <w:pPr>
        <w:ind w:left="640" w:hanging="614"/>
        <w:spacing w:after="0"/>
        <w:tabs>
          <w:tab w:leader="none" w:pos="640" w:val="left"/>
        </w:tabs>
        <w:numPr>
          <w:ilvl w:val="0"/>
          <w:numId w:val="2"/>
        </w:numPr>
        <w:rPr>
          <w:rFonts w:ascii="MS PGothic" w:cs="MS PGothic" w:eastAsia="MS PGothic" w:hAnsi="MS PGothic"/>
          <w:sz w:val="18"/>
          <w:szCs w:val="18"/>
          <w:color w:val="auto"/>
        </w:rPr>
      </w:pPr>
      <w:r>
        <w:rPr>
          <w:rFonts w:ascii="Arial" w:cs="Arial" w:eastAsia="Arial" w:hAnsi="Arial"/>
          <w:sz w:val="22"/>
          <w:szCs w:val="22"/>
          <w:b w:val="1"/>
          <w:bCs w:val="1"/>
          <w:color w:val="auto"/>
        </w:rPr>
        <w:t>1934</w:t>
      </w:r>
    </w:p>
    <w:p>
      <w:pPr>
        <w:spacing w:after="0" w:line="83" w:lineRule="exact"/>
        <w:rPr>
          <w:sz w:val="24"/>
          <w:szCs w:val="24"/>
          <w:color w:val="auto"/>
        </w:rPr>
      </w:pPr>
    </w:p>
    <w:p>
      <w:pPr>
        <w:ind w:left="2860"/>
        <w:spacing w:after="0"/>
        <w:tabs>
          <w:tab w:leader="none" w:pos="71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3961130</wp:posOffset>
            </wp:positionH>
            <wp:positionV relativeFrom="paragraph">
              <wp:posOffset>-7620</wp:posOffset>
            </wp:positionV>
            <wp:extent cx="13627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line="4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1-39628</w:t>
      </w:r>
    </w:p>
    <w:p>
      <w:pPr>
        <w:spacing w:after="0" w:line="68" w:lineRule="exact"/>
        <w:rPr>
          <w:sz w:val="24"/>
          <w:szCs w:val="24"/>
          <w:color w:val="auto"/>
        </w:rPr>
      </w:pPr>
    </w:p>
    <w:p>
      <w:pPr>
        <w:ind w:left="4340"/>
        <w:spacing w:after="0"/>
        <w:rPr>
          <w:sz w:val="20"/>
          <w:szCs w:val="20"/>
          <w:color w:val="auto"/>
        </w:rPr>
      </w:pPr>
      <w:r>
        <w:rPr>
          <w:rFonts w:ascii="Arial" w:cs="Arial" w:eastAsia="Arial" w:hAnsi="Arial"/>
          <w:sz w:val="16"/>
          <w:szCs w:val="16"/>
          <w:b w:val="1"/>
          <w:bCs w:val="1"/>
          <w:color w:val="auto"/>
        </w:rPr>
        <w:t>________________________________</w:t>
      </w:r>
    </w:p>
    <w:p>
      <w:pPr>
        <w:spacing w:after="0" w:line="26"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PROG HOLDINGS, INC.</w:t>
      </w:r>
    </w:p>
    <w:p>
      <w:pPr>
        <w:spacing w:after="0" w:line="2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300"/>
        <w:spacing w:after="0"/>
        <w:rPr>
          <w:sz w:val="20"/>
          <w:szCs w:val="20"/>
          <w:color w:val="auto"/>
        </w:rPr>
      </w:pPr>
      <w:r>
        <w:rPr>
          <w:rFonts w:ascii="Arial" w:cs="Arial" w:eastAsia="Arial" w:hAnsi="Arial"/>
          <w:sz w:val="16"/>
          <w:szCs w:val="16"/>
          <w:b w:val="1"/>
          <w:bCs w:val="1"/>
          <w:color w:val="auto"/>
        </w:rPr>
        <w:t>_________________________________</w:t>
      </w:r>
    </w:p>
    <w:p>
      <w:pPr>
        <w:spacing w:after="0" w:line="122" w:lineRule="exact"/>
        <w:rPr>
          <w:sz w:val="24"/>
          <w:szCs w:val="24"/>
          <w:color w:val="auto"/>
        </w:rPr>
      </w:pPr>
    </w:p>
    <w:p>
      <w:pPr>
        <w:ind w:left="2900"/>
        <w:spacing w:after="0"/>
        <w:tabs>
          <w:tab w:leader="none" w:pos="8080" w:val="left"/>
        </w:tabs>
        <w:rPr>
          <w:sz w:val="20"/>
          <w:szCs w:val="20"/>
          <w:color w:val="auto"/>
        </w:rPr>
      </w:pPr>
      <w:r>
        <w:rPr>
          <w:rFonts w:ascii="Arial" w:cs="Arial" w:eastAsia="Arial" w:hAnsi="Arial"/>
          <w:sz w:val="18"/>
          <w:szCs w:val="18"/>
          <w:b w:val="1"/>
          <w:bCs w:val="1"/>
          <w:color w:val="auto"/>
        </w:rPr>
        <w:t>Georgia</w:t>
      </w:r>
      <w:r>
        <w:rPr>
          <w:sz w:val="20"/>
          <w:szCs w:val="20"/>
          <w:color w:val="auto"/>
        </w:rPr>
        <w:tab/>
      </w:r>
      <w:r>
        <w:rPr>
          <w:rFonts w:ascii="Arial" w:cs="Arial" w:eastAsia="Arial" w:hAnsi="Arial"/>
          <w:sz w:val="18"/>
          <w:szCs w:val="18"/>
          <w:b w:val="1"/>
          <w:bCs w:val="1"/>
          <w:color w:val="auto"/>
        </w:rPr>
        <w:t>85-2484385</w:t>
      </w:r>
    </w:p>
    <w:p>
      <w:pPr>
        <w:spacing w:after="0" w:line="35" w:lineRule="exact"/>
        <w:rPr>
          <w:sz w:val="24"/>
          <w:szCs w:val="24"/>
          <w:color w:val="auto"/>
        </w:rPr>
      </w:pPr>
    </w:p>
    <w:p>
      <w:pPr>
        <w:ind w:left="2300"/>
        <w:spacing w:after="0"/>
        <w:tabs>
          <w:tab w:leader="none" w:pos="7960" w:val="left"/>
        </w:tabs>
        <w:rPr>
          <w:sz w:val="20"/>
          <w:szCs w:val="20"/>
          <w:color w:val="auto"/>
        </w:rPr>
      </w:pPr>
      <w:r>
        <w:rPr>
          <w:rFonts w:ascii="Arial" w:cs="Arial" w:eastAsia="Arial" w:hAnsi="Arial"/>
          <w:sz w:val="14"/>
          <w:szCs w:val="14"/>
          <w:b w:val="1"/>
          <w:bCs w:val="1"/>
          <w:color w:val="auto"/>
        </w:rPr>
        <w:t>(State or other jurisdiction of</w:t>
      </w:r>
      <w:r>
        <w:rPr>
          <w:sz w:val="20"/>
          <w:szCs w:val="20"/>
          <w:color w:val="auto"/>
        </w:rPr>
        <w:tab/>
      </w:r>
      <w:r>
        <w:rPr>
          <w:rFonts w:ascii="Arial" w:cs="Arial" w:eastAsia="Arial" w:hAnsi="Arial"/>
          <w:sz w:val="13"/>
          <w:szCs w:val="13"/>
          <w:b w:val="1"/>
          <w:bCs w:val="1"/>
          <w:color w:val="auto"/>
        </w:rPr>
        <w:t>(I. R. S. Employer</w:t>
      </w:r>
    </w:p>
    <w:p>
      <w:pPr>
        <w:ind w:left="2260"/>
        <w:spacing w:after="0"/>
        <w:tabs>
          <w:tab w:leader="none" w:pos="7940" w:val="left"/>
        </w:tabs>
        <w:rPr>
          <w:sz w:val="20"/>
          <w:szCs w:val="20"/>
          <w:color w:val="auto"/>
        </w:rPr>
      </w:pPr>
      <w:r>
        <w:rPr>
          <w:rFonts w:ascii="Arial" w:cs="Arial" w:eastAsia="Arial" w:hAnsi="Arial"/>
          <w:sz w:val="14"/>
          <w:szCs w:val="14"/>
          <w:b w:val="1"/>
          <w:bCs w:val="1"/>
          <w:color w:val="auto"/>
        </w:rPr>
        <w:t>incorporation or organization)</w:t>
      </w:r>
      <w:r>
        <w:rPr>
          <w:sz w:val="20"/>
          <w:szCs w:val="20"/>
          <w:color w:val="auto"/>
        </w:rPr>
        <w:tab/>
      </w:r>
      <w:r>
        <w:rPr>
          <w:rFonts w:ascii="Arial" w:cs="Arial" w:eastAsia="Arial" w:hAnsi="Arial"/>
          <w:sz w:val="13"/>
          <w:szCs w:val="13"/>
          <w:b w:val="1"/>
          <w:bCs w:val="1"/>
          <w:color w:val="auto"/>
        </w:rPr>
        <w:t>Identification No.)</w:t>
      </w:r>
    </w:p>
    <w:p>
      <w:pPr>
        <w:spacing w:after="0" w:line="84" w:lineRule="exact"/>
        <w:rPr>
          <w:sz w:val="24"/>
          <w:szCs w:val="24"/>
          <w:color w:val="auto"/>
        </w:rPr>
      </w:pPr>
    </w:p>
    <w:p>
      <w:pPr>
        <w:ind w:left="2760"/>
        <w:spacing w:after="0"/>
        <w:tabs>
          <w:tab w:leader="none" w:pos="4360" w:val="left"/>
          <w:tab w:leader="none" w:pos="5380" w:val="left"/>
          <w:tab w:leader="none" w:pos="8080" w:val="left"/>
        </w:tabs>
        <w:rPr>
          <w:sz w:val="20"/>
          <w:szCs w:val="20"/>
          <w:color w:val="auto"/>
        </w:rPr>
      </w:pPr>
      <w:r>
        <w:rPr>
          <w:rFonts w:ascii="Arial" w:cs="Arial" w:eastAsia="Arial" w:hAnsi="Arial"/>
          <w:sz w:val="18"/>
          <w:szCs w:val="18"/>
          <w:b w:val="1"/>
          <w:bCs w:val="1"/>
          <w:color w:val="auto"/>
        </w:rPr>
        <w:t>256 W. Data Drive</w:t>
        <w:tab/>
        <w:t>Draper,</w:t>
      </w:r>
      <w:r>
        <w:rPr>
          <w:sz w:val="20"/>
          <w:szCs w:val="20"/>
          <w:color w:val="auto"/>
        </w:rPr>
        <w:tab/>
      </w:r>
      <w:r>
        <w:rPr>
          <w:rFonts w:ascii="Arial" w:cs="Arial" w:eastAsia="Arial" w:hAnsi="Arial"/>
          <w:sz w:val="18"/>
          <w:szCs w:val="18"/>
          <w:b w:val="1"/>
          <w:bCs w:val="1"/>
          <w:color w:val="auto"/>
        </w:rPr>
        <w:t>Utah</w:t>
      </w:r>
      <w:r>
        <w:rPr>
          <w:sz w:val="20"/>
          <w:szCs w:val="20"/>
          <w:color w:val="auto"/>
        </w:rPr>
        <w:tab/>
      </w:r>
      <w:r>
        <w:rPr>
          <w:rFonts w:ascii="Arial" w:cs="Arial" w:eastAsia="Arial" w:hAnsi="Arial"/>
          <w:sz w:val="16"/>
          <w:szCs w:val="16"/>
          <w:b w:val="1"/>
          <w:bCs w:val="1"/>
          <w:color w:val="auto"/>
        </w:rPr>
        <w:t>84020-2315</w:t>
      </w:r>
    </w:p>
    <w:p>
      <w:pPr>
        <w:spacing w:after="0" w:line="27" w:lineRule="exact"/>
        <w:rPr>
          <w:sz w:val="24"/>
          <w:szCs w:val="24"/>
          <w:color w:val="auto"/>
        </w:rPr>
      </w:pPr>
    </w:p>
    <w:p>
      <w:pPr>
        <w:ind w:left="2020"/>
        <w:spacing w:after="0"/>
        <w:tabs>
          <w:tab w:leader="none" w:pos="8180" w:val="left"/>
        </w:tabs>
        <w:rPr>
          <w:sz w:val="20"/>
          <w:szCs w:val="20"/>
          <w:color w:val="auto"/>
        </w:rPr>
      </w:pPr>
      <w:r>
        <w:rPr>
          <w:rFonts w:ascii="Arial" w:cs="Arial" w:eastAsia="Arial" w:hAnsi="Arial"/>
          <w:sz w:val="14"/>
          <w:szCs w:val="14"/>
          <w:b w:val="1"/>
          <w:bCs w:val="1"/>
          <w:color w:val="auto"/>
        </w:rPr>
        <w:t>(Address of principal executive offices)</w:t>
      </w:r>
      <w:r>
        <w:rPr>
          <w:sz w:val="20"/>
          <w:szCs w:val="20"/>
          <w:color w:val="auto"/>
        </w:rPr>
        <w:tab/>
      </w:r>
      <w:r>
        <w:rPr>
          <w:rFonts w:ascii="Arial" w:cs="Arial" w:eastAsia="Arial" w:hAnsi="Arial"/>
          <w:sz w:val="13"/>
          <w:szCs w:val="13"/>
          <w:b w:val="1"/>
          <w:bCs w:val="1"/>
          <w:color w:val="auto"/>
        </w:rPr>
        <w:t>(Zip Code)</w:t>
      </w:r>
    </w:p>
    <w:p>
      <w:pPr>
        <w:spacing w:after="0" w:line="10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(385) 351-1369</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1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48" w:lineRule="exact"/>
        <w:rPr>
          <w:sz w:val="24"/>
          <w:szCs w:val="24"/>
          <w:color w:val="auto"/>
        </w:rPr>
      </w:pPr>
    </w:p>
    <w:p>
      <w:pPr>
        <w:ind w:left="1700"/>
        <w:spacing w:after="0"/>
        <w:tabs>
          <w:tab w:leader="none" w:pos="5040" w:val="left"/>
          <w:tab w:leader="none" w:pos="7560" w:val="left"/>
        </w:tabs>
        <w:rPr>
          <w:sz w:val="20"/>
          <w:szCs w:val="20"/>
          <w:color w:val="auto"/>
        </w:rPr>
      </w:pPr>
      <w:r>
        <w:rPr>
          <w:rFonts w:ascii="Arial" w:cs="Arial" w:eastAsia="Arial" w:hAnsi="Arial"/>
          <w:sz w:val="14"/>
          <w:szCs w:val="14"/>
          <w:b w:val="1"/>
          <w:bCs w:val="1"/>
          <w:color w:val="auto"/>
        </w:rPr>
        <w:t>Title of each class</w:t>
      </w:r>
      <w:r>
        <w:rPr>
          <w:sz w:val="20"/>
          <w:szCs w:val="20"/>
          <w:color w:val="auto"/>
        </w:rPr>
        <w:tab/>
      </w:r>
      <w:r>
        <w:rPr>
          <w:rFonts w:ascii="Arial" w:cs="Arial" w:eastAsia="Arial" w:hAnsi="Arial"/>
          <w:sz w:val="14"/>
          <w:szCs w:val="14"/>
          <w:b w:val="1"/>
          <w:bCs w:val="1"/>
          <w:color w:val="auto"/>
        </w:rPr>
        <w:t>Trading Symbol</w:t>
      </w:r>
      <w:r>
        <w:rPr>
          <w:sz w:val="20"/>
          <w:szCs w:val="20"/>
          <w:color w:val="auto"/>
        </w:rPr>
        <w:tab/>
      </w:r>
      <w:r>
        <w:rPr>
          <w:rFonts w:ascii="Arial" w:cs="Arial" w:eastAsia="Arial" w:hAnsi="Arial"/>
          <w:sz w:val="12"/>
          <w:szCs w:val="12"/>
          <w:b w:val="1"/>
          <w:bCs w:val="1"/>
          <w:color w:val="auto"/>
        </w:rPr>
        <w:t>Name of each exchange on which registered</w:t>
      </w:r>
    </w:p>
    <w:p>
      <w:pPr>
        <w:spacing w:after="0" w:line="46" w:lineRule="exact"/>
        <w:rPr>
          <w:sz w:val="24"/>
          <w:szCs w:val="24"/>
          <w:color w:val="auto"/>
        </w:rPr>
      </w:pPr>
    </w:p>
    <w:p>
      <w:pPr>
        <w:ind w:left="1000"/>
        <w:spacing w:after="0"/>
        <w:tabs>
          <w:tab w:leader="none" w:pos="5320" w:val="left"/>
          <w:tab w:leader="none" w:pos="7880" w:val="left"/>
        </w:tabs>
        <w:rPr>
          <w:sz w:val="20"/>
          <w:szCs w:val="20"/>
          <w:color w:val="auto"/>
        </w:rPr>
      </w:pPr>
      <w:r>
        <w:rPr>
          <w:rFonts w:ascii="Arial" w:cs="Arial" w:eastAsia="Arial" w:hAnsi="Arial"/>
          <w:sz w:val="18"/>
          <w:szCs w:val="18"/>
          <w:b w:val="1"/>
          <w:bCs w:val="1"/>
          <w:color w:val="auto"/>
        </w:rPr>
        <w:t>Common Stock, $0.50 Par Value</w:t>
      </w:r>
      <w:r>
        <w:rPr>
          <w:sz w:val="20"/>
          <w:szCs w:val="20"/>
          <w:color w:val="auto"/>
        </w:rPr>
        <w:tab/>
      </w:r>
      <w:r>
        <w:rPr>
          <w:rFonts w:ascii="Arial" w:cs="Arial" w:eastAsia="Arial" w:hAnsi="Arial"/>
          <w:sz w:val="18"/>
          <w:szCs w:val="18"/>
          <w:b w:val="1"/>
          <w:bCs w:val="1"/>
          <w:color w:val="auto"/>
        </w:rPr>
        <w:t>PRG</w:t>
      </w:r>
      <w:r>
        <w:rPr>
          <w:sz w:val="20"/>
          <w:szCs w:val="20"/>
          <w:color w:val="auto"/>
        </w:rPr>
        <w:tab/>
      </w:r>
      <w:r>
        <w:rPr>
          <w:rFonts w:ascii="Arial" w:cs="Arial" w:eastAsia="Arial" w:hAnsi="Arial"/>
          <w:sz w:val="16"/>
          <w:szCs w:val="16"/>
          <w:b w:val="1"/>
          <w:bCs w:val="1"/>
          <w:color w:val="auto"/>
        </w:rPr>
        <w:t>New York Stock Exchange</w:t>
      </w:r>
    </w:p>
    <w:p>
      <w:pPr>
        <w:spacing w:after="0" w:line="34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9" w:lineRule="exact"/>
        <w:rPr>
          <w:sz w:val="24"/>
          <w:szCs w:val="24"/>
          <w:color w:val="auto"/>
        </w:rPr>
      </w:pPr>
    </w:p>
    <w:p>
      <w:pPr>
        <w:ind w:left="4220"/>
        <w:spacing w:after="0"/>
        <w:rPr>
          <w:sz w:val="20"/>
          <w:szCs w:val="20"/>
          <w:color w:val="auto"/>
        </w:rPr>
      </w:pPr>
      <w:r>
        <w:rPr>
          <w:rFonts w:ascii="Arial" w:cs="Arial" w:eastAsia="Arial" w:hAnsi="Arial"/>
          <w:sz w:val="16"/>
          <w:szCs w:val="16"/>
          <w:b w:val="1"/>
          <w:bCs w:val="1"/>
          <w:color w:val="auto"/>
        </w:rPr>
        <w:t>___________________________________</w:t>
      </w:r>
    </w:p>
    <w:p>
      <w:pPr>
        <w:spacing w:after="0" w:line="246" w:lineRule="exact"/>
        <w:rPr>
          <w:sz w:val="24"/>
          <w:szCs w:val="24"/>
          <w:color w:val="auto"/>
        </w:rPr>
      </w:pPr>
    </w:p>
    <w:p>
      <w:pPr>
        <w:jc w:val="both"/>
        <w:ind w:right="380" w:firstLine="180"/>
        <w:spacing w:after="0" w:line="221" w:lineRule="exact"/>
        <w:rPr>
          <w:sz w:val="20"/>
          <w:szCs w:val="20"/>
          <w:color w:val="auto"/>
        </w:rPr>
      </w:pPr>
      <w:r>
        <w:rPr>
          <w:rFonts w:ascii="Arial" w:cs="Arial" w:eastAsia="Arial" w:hAnsi="Arial"/>
          <w:sz w:val="18"/>
          <w:szCs w:val="18"/>
          <w:color w:val="auto"/>
        </w:rPr>
        <w:t xml:space="preserve">Indicate by check mark whether registrant (l) has filed all reports required to be filed by Section 13 or 15 (d) of the Securities Exchange Act of l934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 w:lineRule="exact"/>
        <w:rPr>
          <w:sz w:val="24"/>
          <w:szCs w:val="24"/>
          <w:color w:val="auto"/>
        </w:rPr>
      </w:pPr>
    </w:p>
    <w:p>
      <w:pPr>
        <w:ind w:right="40" w:firstLine="180"/>
        <w:spacing w:after="0" w:line="216"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ind w:left="18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w:t>
      </w: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0840" w:type="dxa"/>
            <w:vAlign w:val="bottom"/>
            <w:gridSpan w:val="3"/>
          </w:tcPr>
          <w:p>
            <w:pPr>
              <w:spacing w:after="0"/>
              <w:rPr>
                <w:sz w:val="20"/>
                <w:szCs w:val="20"/>
                <w:color w:val="auto"/>
              </w:rPr>
            </w:pPr>
            <w:r>
              <w:rPr>
                <w:rFonts w:ascii="Arial" w:cs="Arial" w:eastAsia="Arial" w:hAnsi="Arial"/>
                <w:sz w:val="18"/>
                <w:szCs w:val="18"/>
                <w:color w:val="auto"/>
                <w:w w:val="96"/>
              </w:rPr>
              <w:t>the definition of "large accelerated filer," "accelerated filer" and "smaller reporting company" in Rule 12b-2 of the Exchange Act. (Check one):</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2"/>
        </w:trPr>
        <w:tc>
          <w:tcPr>
            <w:tcW w:w="2140" w:type="dxa"/>
            <w:vAlign w:val="bottom"/>
          </w:tcPr>
          <w:p>
            <w:pPr>
              <w:ind w:left="20"/>
              <w:spacing w:after="0"/>
              <w:rPr>
                <w:sz w:val="20"/>
                <w:szCs w:val="20"/>
                <w:color w:val="auto"/>
              </w:rPr>
            </w:pPr>
            <w:r>
              <w:rPr>
                <w:rFonts w:ascii="Arial" w:cs="Arial" w:eastAsia="Arial" w:hAnsi="Arial"/>
                <w:sz w:val="18"/>
                <w:szCs w:val="18"/>
                <w:color w:val="auto"/>
              </w:rPr>
              <w:t>Large Accelerated Filer</w:t>
            </w:r>
          </w:p>
        </w:tc>
        <w:tc>
          <w:tcPr>
            <w:tcW w:w="5120" w:type="dxa"/>
            <w:vAlign w:val="bottom"/>
          </w:tcPr>
          <w:p>
            <w:pPr>
              <w:jc w:val="right"/>
              <w:ind w:right="3835"/>
              <w:spacing w:after="0" w:line="181" w:lineRule="exact"/>
              <w:rPr>
                <w:sz w:val="20"/>
                <w:szCs w:val="20"/>
                <w:color w:val="auto"/>
              </w:rPr>
            </w:pPr>
            <w:r>
              <w:rPr>
                <w:rFonts w:ascii="MS PGothic" w:cs="MS PGothic" w:eastAsia="MS PGothic" w:hAnsi="MS PGothic"/>
                <w:sz w:val="18"/>
                <w:szCs w:val="18"/>
                <w:color w:val="auto"/>
              </w:rPr>
              <w:t>☒</w:t>
            </w:r>
          </w:p>
        </w:tc>
        <w:tc>
          <w:tcPr>
            <w:tcW w:w="3580" w:type="dxa"/>
            <w:vAlign w:val="bottom"/>
          </w:tcPr>
          <w:p>
            <w:pPr>
              <w:ind w:left="480"/>
              <w:spacing w:after="0"/>
              <w:rPr>
                <w:sz w:val="20"/>
                <w:szCs w:val="20"/>
                <w:color w:val="auto"/>
              </w:rPr>
            </w:pPr>
            <w:r>
              <w:rPr>
                <w:rFonts w:ascii="Arial" w:cs="Arial" w:eastAsia="Arial" w:hAnsi="Arial"/>
                <w:sz w:val="18"/>
                <w:szCs w:val="18"/>
                <w:color w:val="auto"/>
              </w:rPr>
              <w:t>Accelerated Filer</w:t>
            </w:r>
          </w:p>
        </w:tc>
        <w:tc>
          <w:tcPr>
            <w:tcW w:w="2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83"/>
        </w:trPr>
        <w:tc>
          <w:tcPr>
            <w:tcW w:w="2140" w:type="dxa"/>
            <w:vAlign w:val="bottom"/>
          </w:tcPr>
          <w:p>
            <w:pPr>
              <w:ind w:left="20"/>
              <w:spacing w:after="0"/>
              <w:rPr>
                <w:sz w:val="20"/>
                <w:szCs w:val="20"/>
                <w:color w:val="auto"/>
              </w:rPr>
            </w:pPr>
            <w:r>
              <w:rPr>
                <w:rFonts w:ascii="Arial" w:cs="Arial" w:eastAsia="Arial" w:hAnsi="Arial"/>
                <w:sz w:val="18"/>
                <w:szCs w:val="18"/>
                <w:color w:val="auto"/>
              </w:rPr>
              <w:t>Non-Accelerated Filer</w:t>
            </w:r>
          </w:p>
        </w:tc>
        <w:tc>
          <w:tcPr>
            <w:tcW w:w="5120" w:type="dxa"/>
            <w:vAlign w:val="bottom"/>
          </w:tcPr>
          <w:p>
            <w:pPr>
              <w:jc w:val="right"/>
              <w:ind w:right="315"/>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580" w:type="dxa"/>
            <w:vAlign w:val="bottom"/>
          </w:tcPr>
          <w:p>
            <w:pPr>
              <w:ind w:left="480"/>
              <w:spacing w:after="0"/>
              <w:rPr>
                <w:sz w:val="20"/>
                <w:szCs w:val="20"/>
                <w:color w:val="auto"/>
              </w:rPr>
            </w:pPr>
            <w:r>
              <w:rPr>
                <w:rFonts w:ascii="Arial" w:cs="Arial" w:eastAsia="Arial" w:hAnsi="Arial"/>
                <w:sz w:val="18"/>
                <w:szCs w:val="18"/>
                <w:color w:val="auto"/>
              </w:rPr>
              <w:t>Smaller Reporting Company</w:t>
            </w:r>
          </w:p>
        </w:tc>
        <w:tc>
          <w:tcPr>
            <w:tcW w:w="2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03"/>
        </w:trPr>
        <w:tc>
          <w:tcPr>
            <w:tcW w:w="2140" w:type="dxa"/>
            <w:vAlign w:val="bottom"/>
          </w:tcPr>
          <w:p>
            <w:pPr>
              <w:ind w:left="20"/>
              <w:spacing w:after="0"/>
              <w:rPr>
                <w:sz w:val="20"/>
                <w:szCs w:val="20"/>
                <w:color w:val="auto"/>
              </w:rPr>
            </w:pPr>
            <w:r>
              <w:rPr>
                <w:rFonts w:ascii="Arial" w:cs="Arial" w:eastAsia="Arial" w:hAnsi="Arial"/>
                <w:sz w:val="18"/>
                <w:szCs w:val="18"/>
                <w:color w:val="auto"/>
                <w:w w:val="94"/>
              </w:rPr>
              <w:t>Emerging Growth Company</w:t>
            </w:r>
          </w:p>
        </w:tc>
        <w:tc>
          <w:tcPr>
            <w:tcW w:w="5120" w:type="dxa"/>
            <w:vAlign w:val="bottom"/>
          </w:tcPr>
          <w:p>
            <w:pPr>
              <w:jc w:val="right"/>
              <w:ind w:right="3835"/>
              <w:spacing w:after="0" w:line="181" w:lineRule="exact"/>
              <w:rPr>
                <w:sz w:val="20"/>
                <w:szCs w:val="20"/>
                <w:color w:val="auto"/>
              </w:rPr>
            </w:pPr>
            <w:r>
              <w:rPr>
                <w:rFonts w:ascii="MS PGothic" w:cs="MS PGothic" w:eastAsia="MS PGothic" w:hAnsi="MS PGothic"/>
                <w:sz w:val="18"/>
                <w:szCs w:val="18"/>
                <w:color w:val="auto"/>
              </w:rPr>
              <w:t>☐</w:t>
            </w:r>
          </w:p>
        </w:tc>
        <w:tc>
          <w:tcPr>
            <w:tcW w:w="3580" w:type="dxa"/>
            <w:vAlign w:val="bottom"/>
          </w:tcPr>
          <w:p>
            <w:pPr>
              <w:spacing w:after="0"/>
              <w:rPr>
                <w:sz w:val="24"/>
                <w:szCs w:val="24"/>
                <w:color w:val="auto"/>
              </w:rPr>
            </w:pPr>
          </w:p>
        </w:tc>
        <w:tc>
          <w:tcPr>
            <w:tcW w:w="260" w:type="dxa"/>
            <w:vAlign w:val="bottom"/>
            <w:vMerge w:val="restart"/>
          </w:tcPr>
          <w:p>
            <w:pPr>
              <w:ind w:left="1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14"/>
        </w:trPr>
        <w:tc>
          <w:tcPr>
            <w:tcW w:w="10840" w:type="dxa"/>
            <w:vAlign w:val="bottom"/>
            <w:gridSpan w:val="3"/>
          </w:tcPr>
          <w:p>
            <w:pPr>
              <w:ind w:left="20"/>
              <w:spacing w:after="0"/>
              <w:rPr>
                <w:sz w:val="20"/>
                <w:szCs w:val="20"/>
                <w:color w:val="auto"/>
              </w:rPr>
            </w:pPr>
            <w:r>
              <w:rPr>
                <w:rFonts w:ascii="Arial" w:cs="Arial" w:eastAsia="Arial" w:hAnsi="Arial"/>
                <w:sz w:val="18"/>
                <w:szCs w:val="18"/>
                <w:color w:val="auto"/>
                <w:w w:val="91"/>
              </w:rPr>
              <w:t>If an emerging growth company, indicate by check mark if the registrant has elected not to use the extended transition period for complying with any</w:t>
            </w:r>
          </w:p>
        </w:tc>
        <w:tc>
          <w:tcPr>
            <w:tcW w:w="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40" w:type="dxa"/>
            <w:vAlign w:val="bottom"/>
            <w:gridSpan w:val="3"/>
          </w:tcPr>
          <w:p>
            <w:pPr>
              <w:ind w:left="20"/>
              <w:spacing w:after="0"/>
              <w:rPr>
                <w:sz w:val="20"/>
                <w:szCs w:val="20"/>
                <w:color w:val="auto"/>
              </w:rPr>
            </w:pPr>
            <w:r>
              <w:rPr>
                <w:rFonts w:ascii="Arial" w:cs="Arial" w:eastAsia="Arial" w:hAnsi="Arial"/>
                <w:sz w:val="18"/>
                <w:szCs w:val="18"/>
                <w:color w:val="auto"/>
              </w:rPr>
              <w:t>new or revised financial accounting standards provided pursuant to Section 7(a)(2)(B) of the Securities Act</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10840" w:type="dxa"/>
            <w:vAlign w:val="bottom"/>
            <w:gridSpan w:val="3"/>
          </w:tcPr>
          <w:p>
            <w:pPr>
              <w:ind w:left="46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840" w:type="dxa"/>
            <w:vAlign w:val="bottom"/>
            <w:gridSpan w:val="3"/>
          </w:tcPr>
          <w:p>
            <w:pPr>
              <w:ind w:left="18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140" w:type="dxa"/>
            <w:vAlign w:val="bottom"/>
          </w:tcPr>
          <w:p>
            <w:pPr>
              <w:spacing w:after="0"/>
              <w:rPr>
                <w:sz w:val="22"/>
                <w:szCs w:val="22"/>
                <w:color w:val="auto"/>
              </w:rPr>
            </w:pPr>
          </w:p>
        </w:tc>
        <w:tc>
          <w:tcPr>
            <w:tcW w:w="5120" w:type="dxa"/>
            <w:vAlign w:val="bottom"/>
            <w:vMerge w:val="restart"/>
          </w:tcPr>
          <w:p>
            <w:pPr>
              <w:jc w:val="right"/>
              <w:ind w:right="3815"/>
              <w:spacing w:after="0"/>
              <w:rPr>
                <w:sz w:val="20"/>
                <w:szCs w:val="20"/>
                <w:color w:val="auto"/>
              </w:rPr>
            </w:pPr>
            <w:r>
              <w:rPr>
                <w:rFonts w:ascii="Arial" w:cs="Arial" w:eastAsia="Arial" w:hAnsi="Arial"/>
                <w:sz w:val="14"/>
                <w:szCs w:val="14"/>
                <w:b w:val="1"/>
                <w:bCs w:val="1"/>
                <w:color w:val="auto"/>
                <w:w w:val="96"/>
              </w:rPr>
              <w:t>Title of Each Class</w:t>
            </w:r>
          </w:p>
        </w:tc>
        <w:tc>
          <w:tcPr>
            <w:tcW w:w="3580" w:type="dxa"/>
            <w:vAlign w:val="bottom"/>
          </w:tcPr>
          <w:p>
            <w:pPr>
              <w:jc w:val="center"/>
              <w:ind w:right="1157"/>
              <w:spacing w:after="0"/>
              <w:rPr>
                <w:sz w:val="20"/>
                <w:szCs w:val="20"/>
                <w:color w:val="auto"/>
              </w:rPr>
            </w:pPr>
            <w:r>
              <w:rPr>
                <w:rFonts w:ascii="Arial" w:cs="Arial" w:eastAsia="Arial" w:hAnsi="Arial"/>
                <w:sz w:val="14"/>
                <w:szCs w:val="14"/>
                <w:b w:val="1"/>
                <w:bCs w:val="1"/>
                <w:color w:val="auto"/>
                <w:w w:val="90"/>
              </w:rPr>
              <w:t>Shares Outstanding as of</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6"/>
        </w:trPr>
        <w:tc>
          <w:tcPr>
            <w:tcW w:w="2140" w:type="dxa"/>
            <w:vAlign w:val="bottom"/>
          </w:tcPr>
          <w:p>
            <w:pPr>
              <w:spacing w:after="0"/>
              <w:rPr>
                <w:sz w:val="16"/>
                <w:szCs w:val="16"/>
                <w:color w:val="auto"/>
              </w:rPr>
            </w:pPr>
          </w:p>
        </w:tc>
        <w:tc>
          <w:tcPr>
            <w:tcW w:w="5120" w:type="dxa"/>
            <w:vAlign w:val="bottom"/>
            <w:vMerge w:val="continue"/>
          </w:tcPr>
          <w:p>
            <w:pPr>
              <w:spacing w:after="0"/>
              <w:rPr>
                <w:sz w:val="16"/>
                <w:szCs w:val="16"/>
                <w:color w:val="auto"/>
              </w:rPr>
            </w:pPr>
          </w:p>
        </w:tc>
        <w:tc>
          <w:tcPr>
            <w:tcW w:w="3580" w:type="dxa"/>
            <w:vAlign w:val="bottom"/>
          </w:tcPr>
          <w:p>
            <w:pPr>
              <w:jc w:val="center"/>
              <w:ind w:right="1137"/>
              <w:spacing w:after="0"/>
              <w:rPr>
                <w:sz w:val="20"/>
                <w:szCs w:val="20"/>
                <w:color w:val="auto"/>
              </w:rPr>
            </w:pPr>
            <w:r>
              <w:rPr>
                <w:rFonts w:ascii="Arial" w:cs="Arial" w:eastAsia="Arial" w:hAnsi="Arial"/>
                <w:sz w:val="14"/>
                <w:szCs w:val="14"/>
                <w:b w:val="1"/>
                <w:bCs w:val="1"/>
                <w:color w:val="auto"/>
                <w:w w:val="92"/>
              </w:rPr>
              <w:t>October 20, 2023</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7260" w:type="dxa"/>
            <w:vAlign w:val="bottom"/>
            <w:gridSpan w:val="2"/>
          </w:tcPr>
          <w:p>
            <w:pPr>
              <w:ind w:left="1600"/>
              <w:spacing w:after="0"/>
              <w:rPr>
                <w:sz w:val="20"/>
                <w:szCs w:val="20"/>
                <w:color w:val="auto"/>
              </w:rPr>
            </w:pPr>
            <w:r>
              <w:rPr>
                <w:rFonts w:ascii="Arial" w:cs="Arial" w:eastAsia="Arial" w:hAnsi="Arial"/>
                <w:sz w:val="18"/>
                <w:szCs w:val="18"/>
                <w:color w:val="auto"/>
              </w:rPr>
              <w:t>Common Stock, $0.50 Par Value</w:t>
            </w:r>
          </w:p>
        </w:tc>
        <w:tc>
          <w:tcPr>
            <w:tcW w:w="3580" w:type="dxa"/>
            <w:vAlign w:val="bottom"/>
          </w:tcPr>
          <w:p>
            <w:pPr>
              <w:jc w:val="center"/>
              <w:ind w:right="1157"/>
              <w:spacing w:after="0"/>
              <w:rPr>
                <w:sz w:val="20"/>
                <w:szCs w:val="20"/>
                <w:color w:val="auto"/>
              </w:rPr>
            </w:pPr>
            <w:r>
              <w:rPr>
                <w:rFonts w:ascii="Arial" w:cs="Arial" w:eastAsia="Arial" w:hAnsi="Arial"/>
                <w:sz w:val="18"/>
                <w:szCs w:val="18"/>
                <w:color w:val="auto"/>
                <w:w w:val="90"/>
              </w:rPr>
              <w:t>44,722,262</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ectPr>
          <w:pgSz w:w="11900" w:h="16838" w:orient="portrait"/>
          <w:cols w:equalWidth="0" w:num="1">
            <w:col w:w="11200"/>
          </w:cols>
          <w:pgMar w:left="320" w:top="841" w:right="379" w:bottom="622" w:gutter="0" w:footer="0" w:header="0"/>
        </w:sectPr>
      </w:pPr>
    </w:p>
    <w:p>
      <w:pPr>
        <w:spacing w:after="0" w:line="200" w:lineRule="exact"/>
        <w:rPr>
          <w:sz w:val="24"/>
          <w:szCs w:val="24"/>
          <w:color w:val="auto"/>
        </w:rPr>
      </w:pPr>
    </w:p>
    <w:p>
      <w:pPr>
        <w:spacing w:after="0" w:line="261" w:lineRule="exact"/>
        <w:rPr>
          <w:sz w:val="24"/>
          <w:szCs w:val="24"/>
          <w:color w:val="auto"/>
        </w:rPr>
      </w:pPr>
    </w:p>
    <w:p>
      <w:pPr>
        <w:jc w:val="center"/>
        <w:ind w:right="-39"/>
        <w:spacing w:after="0"/>
        <w:rPr>
          <w:sz w:val="20"/>
          <w:szCs w:val="20"/>
          <w:color w:val="auto"/>
        </w:rPr>
      </w:pPr>
      <w:r>
        <w:rPr>
          <w:rFonts w:ascii="Arial" w:cs="Arial" w:eastAsia="Arial" w:hAnsi="Arial"/>
          <w:sz w:val="13"/>
          <w:szCs w:val="13"/>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41" w:right="379" w:bottom="622"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PROG HOLDINGS, INC.</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08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b w:val="1"/>
                <w:bCs w:val="1"/>
                <w:color w:val="0000FF"/>
              </w:rPr>
              <w:t>PART I. FINANCIAL INFORMATION</w:t>
            </w:r>
          </w:p>
        </w:tc>
        <w:tc>
          <w:tcPr>
            <w:tcW w:w="7940" w:type="dxa"/>
            <w:vAlign w:val="bottom"/>
            <w:gridSpan w:val="8"/>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63"/>
        </w:trPr>
        <w:tc>
          <w:tcPr>
            <w:tcW w:w="20" w:type="dxa"/>
            <w:vAlign w:val="bottom"/>
          </w:tcPr>
          <w:p>
            <w:pPr>
              <w:spacing w:after="0"/>
              <w:rPr>
                <w:sz w:val="22"/>
                <w:szCs w:val="22"/>
                <w:color w:val="auto"/>
              </w:rPr>
            </w:pPr>
          </w:p>
        </w:tc>
        <w:tc>
          <w:tcPr>
            <w:tcW w:w="11020" w:type="dxa"/>
            <w:vAlign w:val="bottom"/>
            <w:gridSpan w:val="20"/>
          </w:tcPr>
          <w:p>
            <w:pPr>
              <w:spacing w:after="0"/>
              <w:rPr>
                <w:sz w:val="20"/>
                <w:szCs w:val="20"/>
                <w:color w:val="auto"/>
              </w:rPr>
            </w:pPr>
            <w:r>
              <w:rPr>
                <w:rFonts w:ascii="Arial" w:cs="Arial" w:eastAsia="Arial" w:hAnsi="Arial"/>
                <w:sz w:val="18"/>
                <w:szCs w:val="18"/>
                <w:color w:val="0000FF"/>
              </w:rPr>
              <w:t>Item 1. Financial Statements</w:t>
            </w: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rPr>
              <w:t>3</w:t>
            </w: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700" w:type="dxa"/>
            <w:vAlign w:val="bottom"/>
            <w:gridSpan w:val="19"/>
          </w:tcPr>
          <w:p>
            <w:pPr>
              <w:ind w:left="20"/>
              <w:spacing w:after="0"/>
              <w:rPr>
                <w:sz w:val="20"/>
                <w:szCs w:val="20"/>
                <w:color w:val="auto"/>
              </w:rPr>
            </w:pPr>
            <w:r>
              <w:rPr>
                <w:rFonts w:ascii="Arial" w:cs="Arial" w:eastAsia="Arial" w:hAnsi="Arial"/>
                <w:sz w:val="18"/>
                <w:szCs w:val="18"/>
                <w:color w:val="0000FF"/>
              </w:rPr>
              <w:t>Condensed Consolidated Balance Sheets – September 30, 2023 (Unaudited) and December 31, 2022</w:t>
            </w: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rPr>
              <w:t>3</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700" w:type="dxa"/>
            <w:vAlign w:val="bottom"/>
            <w:gridSpan w:val="19"/>
          </w:tcPr>
          <w:p>
            <w:pPr>
              <w:ind w:left="20"/>
              <w:spacing w:after="0"/>
              <w:rPr>
                <w:sz w:val="20"/>
                <w:szCs w:val="20"/>
                <w:color w:val="auto"/>
              </w:rPr>
            </w:pPr>
            <w:r>
              <w:rPr>
                <w:rFonts w:ascii="Arial" w:cs="Arial" w:eastAsia="Arial" w:hAnsi="Arial"/>
                <w:sz w:val="18"/>
                <w:szCs w:val="18"/>
                <w:color w:val="0000FF"/>
              </w:rPr>
              <w:t>Condensed Consolidated Statements of Earnings (Unaudited) – Three and Nine Months Ended September 30, 2023 and 2022</w:t>
            </w: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rPr>
              <w:t>4</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20" w:type="dxa"/>
            <w:vAlign w:val="bottom"/>
            <w:gridSpan w:val="18"/>
          </w:tcPr>
          <w:p>
            <w:pPr>
              <w:ind w:left="20"/>
              <w:spacing w:after="0"/>
              <w:rPr>
                <w:sz w:val="20"/>
                <w:szCs w:val="20"/>
                <w:color w:val="auto"/>
              </w:rPr>
            </w:pPr>
            <w:r>
              <w:rPr>
                <w:rFonts w:ascii="Arial" w:cs="Arial" w:eastAsia="Arial" w:hAnsi="Arial"/>
                <w:sz w:val="18"/>
                <w:szCs w:val="18"/>
                <w:color w:val="0000FF"/>
                <w:w w:val="95"/>
              </w:rPr>
              <w:t>Condensed Consolidated Statements of Cash Flows (Unaudited) – Nine Months Ended September 30, 2023 and 2022</w:t>
            </w:r>
          </w:p>
        </w:tc>
        <w:tc>
          <w:tcPr>
            <w:tcW w:w="1680" w:type="dxa"/>
            <w:vAlign w:val="bottom"/>
          </w:tcPr>
          <w:p>
            <w:pPr>
              <w:spacing w:after="0"/>
              <w:rPr>
                <w:sz w:val="22"/>
                <w:szCs w:val="22"/>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rPr>
              <w:t>5</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920" w:type="dxa"/>
            <w:vAlign w:val="bottom"/>
            <w:gridSpan w:val="14"/>
          </w:tcPr>
          <w:p>
            <w:pPr>
              <w:ind w:left="20"/>
              <w:spacing w:after="0"/>
              <w:rPr>
                <w:sz w:val="20"/>
                <w:szCs w:val="20"/>
                <w:color w:val="auto"/>
              </w:rPr>
            </w:pPr>
            <w:r>
              <w:rPr>
                <w:rFonts w:ascii="Arial" w:cs="Arial" w:eastAsia="Arial" w:hAnsi="Arial"/>
                <w:sz w:val="18"/>
                <w:szCs w:val="18"/>
                <w:color w:val="0000FF"/>
                <w:w w:val="89"/>
              </w:rPr>
              <w:t>Notes to Condensed Consolidated Financial Statements (Unaudited)</w:t>
            </w:r>
          </w:p>
        </w:tc>
        <w:tc>
          <w:tcPr>
            <w:tcW w:w="3540" w:type="dxa"/>
            <w:vAlign w:val="bottom"/>
            <w:gridSpan w:val="3"/>
          </w:tcPr>
          <w:p>
            <w:pPr>
              <w:spacing w:after="0"/>
              <w:rPr>
                <w:sz w:val="22"/>
                <w:szCs w:val="22"/>
                <w:color w:val="auto"/>
              </w:rPr>
            </w:pPr>
          </w:p>
        </w:tc>
        <w:tc>
          <w:tcPr>
            <w:tcW w:w="2240" w:type="dxa"/>
            <w:vAlign w:val="bottom"/>
            <w:gridSpan w:val="2"/>
          </w:tcPr>
          <w:p>
            <w:pPr>
              <w:spacing w:after="0"/>
              <w:rPr>
                <w:sz w:val="22"/>
                <w:szCs w:val="22"/>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rPr>
              <w:t>6</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0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702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91"/>
              </w:rPr>
              <w:t>Item 2. Management’s Discussion and Analysis of Financial Condition and Results of Operations</w:t>
            </w:r>
          </w:p>
        </w:tc>
        <w:tc>
          <w:tcPr>
            <w:tcW w:w="4000" w:type="dxa"/>
            <w:vAlign w:val="bottom"/>
            <w:gridSpan w:val="4"/>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22</w:t>
            </w:r>
          </w:p>
        </w:tc>
        <w:tc>
          <w:tcPr>
            <w:tcW w:w="20" w:type="dxa"/>
            <w:vAlign w:val="bottom"/>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492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2"/>
              </w:rPr>
              <w:t>Item 3. Quantitative and Qualitative Disclosures About Market Risk</w:t>
            </w:r>
          </w:p>
        </w:tc>
        <w:tc>
          <w:tcPr>
            <w:tcW w:w="6100" w:type="dxa"/>
            <w:vAlign w:val="bottom"/>
            <w:gridSpan w:val="6"/>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36</w:t>
            </w:r>
          </w:p>
        </w:tc>
        <w:tc>
          <w:tcPr>
            <w:tcW w:w="2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11020" w:type="dxa"/>
            <w:vAlign w:val="bottom"/>
            <w:gridSpan w:val="20"/>
          </w:tcPr>
          <w:p>
            <w:pPr>
              <w:spacing w:after="0"/>
              <w:rPr>
                <w:sz w:val="20"/>
                <w:szCs w:val="20"/>
                <w:color w:val="auto"/>
              </w:rPr>
            </w:pPr>
            <w:r>
              <w:rPr>
                <w:rFonts w:ascii="Arial" w:cs="Arial" w:eastAsia="Arial" w:hAnsi="Arial"/>
                <w:sz w:val="18"/>
                <w:szCs w:val="18"/>
                <w:color w:val="0000FF"/>
              </w:rPr>
              <w:t>Item 4. Controls and Procedures</w:t>
            </w: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w w:val="79"/>
              </w:rPr>
              <w:t>37</w:t>
            </w:r>
          </w:p>
        </w:tc>
        <w:tc>
          <w:tcPr>
            <w:tcW w:w="2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6120" w:type="dxa"/>
            <w:vAlign w:val="bottom"/>
            <w:gridSpan w:val="7"/>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278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b w:val="1"/>
                <w:bCs w:val="1"/>
                <w:color w:val="0000FF"/>
              </w:rPr>
              <w:t>PART II. OTHER INFORMATION</w:t>
            </w:r>
          </w:p>
        </w:tc>
        <w:tc>
          <w:tcPr>
            <w:tcW w:w="8240" w:type="dxa"/>
            <w:vAlign w:val="bottom"/>
            <w:gridSpan w:val="10"/>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190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89"/>
              </w:rPr>
              <w:t>Item 1. Legal Proceedings</w:t>
            </w:r>
          </w:p>
        </w:tc>
        <w:tc>
          <w:tcPr>
            <w:tcW w:w="9120" w:type="dxa"/>
            <w:vAlign w:val="bottom"/>
            <w:gridSpan w:val="13"/>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38</w:t>
            </w:r>
          </w:p>
        </w:tc>
        <w:tc>
          <w:tcPr>
            <w:tcW w:w="2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160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1"/>
              </w:rPr>
              <w:t>Item 1A. Risk Factors</w:t>
            </w:r>
          </w:p>
        </w:tc>
        <w:tc>
          <w:tcPr>
            <w:tcW w:w="9420" w:type="dxa"/>
            <w:vAlign w:val="bottom"/>
            <w:gridSpan w:val="15"/>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38</w:t>
            </w:r>
          </w:p>
        </w:tc>
        <w:tc>
          <w:tcPr>
            <w:tcW w:w="20" w:type="dxa"/>
            <w:vAlign w:val="bottom"/>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11020" w:type="dxa"/>
            <w:vAlign w:val="bottom"/>
            <w:gridSpan w:val="20"/>
          </w:tcPr>
          <w:p>
            <w:pPr>
              <w:spacing w:after="0"/>
              <w:rPr>
                <w:sz w:val="20"/>
                <w:szCs w:val="20"/>
                <w:color w:val="auto"/>
              </w:rPr>
            </w:pPr>
            <w:r>
              <w:rPr>
                <w:rFonts w:ascii="Arial" w:cs="Arial" w:eastAsia="Arial" w:hAnsi="Arial"/>
                <w:sz w:val="18"/>
                <w:szCs w:val="18"/>
                <w:color w:val="0000FF"/>
              </w:rPr>
              <w:t>Item 2. Unregistered Sales of Equity Securities and Use of Proceeds</w:t>
            </w: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w w:val="79"/>
              </w:rPr>
              <w:t>39</w:t>
            </w:r>
          </w:p>
        </w:tc>
        <w:tc>
          <w:tcPr>
            <w:tcW w:w="2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54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0000FF"/>
                <w:w w:val="94"/>
              </w:rPr>
              <w:t>Item 3.</w:t>
            </w:r>
          </w:p>
        </w:tc>
        <w:tc>
          <w:tcPr>
            <w:tcW w:w="4360" w:type="dxa"/>
            <w:vAlign w:val="bottom"/>
            <w:tcBorders>
              <w:top w:val="single" w:sz="8" w:color="0000FF"/>
            </w:tcBorders>
            <w:gridSpan w:val="11"/>
          </w:tcPr>
          <w:p>
            <w:pPr>
              <w:ind w:left="20"/>
              <w:spacing w:after="0"/>
              <w:rPr>
                <w:sz w:val="20"/>
                <w:szCs w:val="20"/>
                <w:color w:val="auto"/>
              </w:rPr>
            </w:pPr>
            <w:r>
              <w:rPr>
                <w:rFonts w:ascii="Arial" w:cs="Arial" w:eastAsia="Arial" w:hAnsi="Arial"/>
                <w:sz w:val="18"/>
                <w:szCs w:val="18"/>
                <w:color w:val="0000FF"/>
              </w:rPr>
              <w:t>Defaults Upon Senior Securities</w:t>
            </w:r>
          </w:p>
        </w:tc>
        <w:tc>
          <w:tcPr>
            <w:tcW w:w="6120" w:type="dxa"/>
            <w:vAlign w:val="bottom"/>
            <w:gridSpan w:val="7"/>
          </w:tcPr>
          <w:p>
            <w:pPr>
              <w:spacing w:after="0"/>
              <w:rPr>
                <w:sz w:val="22"/>
                <w:szCs w:val="22"/>
                <w:color w:val="auto"/>
              </w:rPr>
            </w:pPr>
          </w:p>
        </w:tc>
        <w:tc>
          <w:tcPr>
            <w:tcW w:w="18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39</w:t>
            </w:r>
          </w:p>
        </w:tc>
        <w:tc>
          <w:tcPr>
            <w:tcW w:w="20" w:type="dxa"/>
            <w:vAlign w:val="bottom"/>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54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0000FF"/>
                <w:w w:val="94"/>
              </w:rPr>
              <w:t>Item 4.</w:t>
            </w:r>
          </w:p>
        </w:tc>
        <w:tc>
          <w:tcPr>
            <w:tcW w:w="2340" w:type="dxa"/>
            <w:vAlign w:val="bottom"/>
            <w:tcBorders>
              <w:top w:val="single" w:sz="8" w:color="0000FF"/>
            </w:tcBorders>
            <w:gridSpan w:val="9"/>
          </w:tcPr>
          <w:p>
            <w:pPr>
              <w:ind w:left="20"/>
              <w:spacing w:after="0"/>
              <w:rPr>
                <w:sz w:val="20"/>
                <w:szCs w:val="20"/>
                <w:color w:val="auto"/>
              </w:rPr>
            </w:pPr>
            <w:r>
              <w:rPr>
                <w:rFonts w:ascii="Arial" w:cs="Arial" w:eastAsia="Arial" w:hAnsi="Arial"/>
                <w:sz w:val="18"/>
                <w:szCs w:val="18"/>
                <w:color w:val="0000FF"/>
              </w:rPr>
              <w:t>Mine Safety Disclosures</w:t>
            </w:r>
          </w:p>
        </w:tc>
        <w:tc>
          <w:tcPr>
            <w:tcW w:w="8140" w:type="dxa"/>
            <w:vAlign w:val="bottom"/>
            <w:gridSpan w:val="9"/>
          </w:tcPr>
          <w:p>
            <w:pPr>
              <w:spacing w:after="0"/>
              <w:rPr>
                <w:sz w:val="22"/>
                <w:szCs w:val="22"/>
                <w:color w:val="auto"/>
              </w:rPr>
            </w:pPr>
          </w:p>
        </w:tc>
        <w:tc>
          <w:tcPr>
            <w:tcW w:w="18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40</w:t>
            </w:r>
          </w:p>
        </w:tc>
        <w:tc>
          <w:tcPr>
            <w:tcW w:w="2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54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94"/>
              </w:rPr>
              <w:t>Item 5.</w:t>
            </w:r>
          </w:p>
        </w:tc>
        <w:tc>
          <w:tcPr>
            <w:tcW w:w="1340" w:type="dxa"/>
            <w:vAlign w:val="bottom"/>
            <w:tcBorders>
              <w:top w:val="single" w:sz="8" w:color="0000FF"/>
              <w:bottom w:val="single" w:sz="8" w:color="0000FF"/>
            </w:tcBorders>
            <w:gridSpan w:val="4"/>
          </w:tcPr>
          <w:p>
            <w:pPr>
              <w:ind w:left="20"/>
              <w:spacing w:after="0"/>
              <w:rPr>
                <w:sz w:val="20"/>
                <w:szCs w:val="20"/>
                <w:color w:val="auto"/>
              </w:rPr>
            </w:pPr>
            <w:r>
              <w:rPr>
                <w:rFonts w:ascii="Arial" w:cs="Arial" w:eastAsia="Arial" w:hAnsi="Arial"/>
                <w:sz w:val="18"/>
                <w:szCs w:val="18"/>
                <w:color w:val="0000FF"/>
                <w:w w:val="92"/>
              </w:rPr>
              <w:t>Other Information</w:t>
            </w:r>
          </w:p>
        </w:tc>
        <w:tc>
          <w:tcPr>
            <w:tcW w:w="440" w:type="dxa"/>
            <w:vAlign w:val="bottom"/>
            <w:tcBorders>
              <w:top w:val="single" w:sz="8" w:color="0000FF"/>
            </w:tcBorders>
            <w:gridSpan w:val="3"/>
          </w:tcPr>
          <w:p>
            <w:pPr>
              <w:spacing w:after="0"/>
              <w:rPr>
                <w:sz w:val="22"/>
                <w:szCs w:val="22"/>
                <w:color w:val="auto"/>
              </w:rPr>
            </w:pPr>
          </w:p>
        </w:tc>
        <w:tc>
          <w:tcPr>
            <w:tcW w:w="8700" w:type="dxa"/>
            <w:vAlign w:val="bottom"/>
            <w:gridSpan w:val="11"/>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40</w:t>
            </w:r>
          </w:p>
        </w:tc>
        <w:tc>
          <w:tcPr>
            <w:tcW w:w="20" w:type="dxa"/>
            <w:vAlign w:val="bottom"/>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540" w:type="dxa"/>
            <w:vAlign w:val="bottom"/>
            <w:gridSpan w:val="2"/>
          </w:tcPr>
          <w:p>
            <w:pPr>
              <w:spacing w:after="0"/>
              <w:rPr>
                <w:sz w:val="20"/>
                <w:szCs w:val="20"/>
                <w:color w:val="auto"/>
              </w:rPr>
            </w:pPr>
            <w:r>
              <w:rPr>
                <w:rFonts w:ascii="Arial" w:cs="Arial" w:eastAsia="Arial" w:hAnsi="Arial"/>
                <w:sz w:val="18"/>
                <w:szCs w:val="18"/>
                <w:color w:val="0000FF"/>
                <w:w w:val="94"/>
              </w:rPr>
              <w:t>Item 6.</w:t>
            </w:r>
          </w:p>
        </w:tc>
        <w:tc>
          <w:tcPr>
            <w:tcW w:w="10480" w:type="dxa"/>
            <w:vAlign w:val="bottom"/>
            <w:gridSpan w:val="18"/>
          </w:tcPr>
          <w:p>
            <w:pPr>
              <w:ind w:left="20"/>
              <w:spacing w:after="0"/>
              <w:rPr>
                <w:sz w:val="20"/>
                <w:szCs w:val="20"/>
                <w:color w:val="auto"/>
              </w:rPr>
            </w:pPr>
            <w:r>
              <w:rPr>
                <w:rFonts w:ascii="Arial" w:cs="Arial" w:eastAsia="Arial" w:hAnsi="Arial"/>
                <w:sz w:val="18"/>
                <w:szCs w:val="18"/>
                <w:color w:val="0000FF"/>
              </w:rPr>
              <w:t>Exhibits</w:t>
            </w: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w w:val="79"/>
              </w:rPr>
              <w:t>41</w:t>
            </w:r>
          </w:p>
        </w:tc>
        <w:tc>
          <w:tcPr>
            <w:tcW w:w="2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116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0000FF"/>
              </w:rPr>
              <w:t>Signatures</w:t>
            </w:r>
          </w:p>
        </w:tc>
        <w:tc>
          <w:tcPr>
            <w:tcW w:w="9860" w:type="dxa"/>
            <w:vAlign w:val="bottom"/>
            <w:gridSpan w:val="16"/>
          </w:tcPr>
          <w:p>
            <w:pPr>
              <w:spacing w:after="0"/>
              <w:rPr>
                <w:sz w:val="22"/>
                <w:szCs w:val="22"/>
                <w:color w:val="auto"/>
              </w:rPr>
            </w:pPr>
          </w:p>
        </w:tc>
        <w:tc>
          <w:tcPr>
            <w:tcW w:w="18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42</w:t>
            </w:r>
          </w:p>
        </w:tc>
        <w:tc>
          <w:tcPr>
            <w:tcW w:w="20" w:type="dxa"/>
            <w:vAlign w:val="bottom"/>
          </w:tcPr>
          <w:p>
            <w:pPr>
              <w:spacing w:after="0"/>
              <w:rPr>
                <w:sz w:val="22"/>
                <w:szCs w:val="22"/>
                <w:color w:val="auto"/>
              </w:rPr>
            </w:pPr>
          </w:p>
        </w:tc>
      </w:tr>
      <w:tr>
        <w:trPr>
          <w:trHeight w:val="925"/>
        </w:trPr>
        <w:tc>
          <w:tcPr>
            <w:tcW w:w="20" w:type="dxa"/>
            <w:vAlign w:val="bottom"/>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260" w:type="dxa"/>
            <w:vAlign w:val="bottom"/>
            <w:gridSpan w:val="13"/>
          </w:tcPr>
          <w:p>
            <w:pPr>
              <w:jc w:val="right"/>
              <w:ind w:right="1380"/>
              <w:spacing w:after="0"/>
              <w:rPr>
                <w:sz w:val="20"/>
                <w:szCs w:val="20"/>
                <w:color w:val="auto"/>
              </w:rPr>
            </w:pPr>
            <w:r>
              <w:rPr>
                <w:rFonts w:ascii="Arial" w:cs="Arial" w:eastAsia="Arial" w:hAnsi="Arial"/>
                <w:sz w:val="18"/>
                <w:szCs w:val="18"/>
                <w:color w:val="auto"/>
              </w:rPr>
              <w:t>2</w:t>
            </w:r>
          </w:p>
        </w:tc>
        <w:tc>
          <w:tcPr>
            <w:tcW w:w="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jc w:val="center"/>
              <w:ind w:right="233"/>
              <w:spacing w:after="0"/>
              <w:rPr>
                <w:sz w:val="20"/>
                <w:szCs w:val="20"/>
                <w:color w:val="auto"/>
              </w:rPr>
            </w:pPr>
            <w:r>
              <w:rPr>
                <w:rFonts w:ascii="Arial" w:cs="Arial" w:eastAsia="Arial" w:hAnsi="Arial"/>
                <w:sz w:val="14"/>
                <w:szCs w:val="14"/>
                <w:b w:val="1"/>
                <w:bCs w:val="1"/>
                <w:color w:val="auto"/>
                <w:w w:val="97"/>
              </w:rPr>
              <w:t>(Unaudited)</w:t>
            </w:r>
          </w:p>
        </w:tc>
        <w:tc>
          <w:tcPr>
            <w:tcW w:w="3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7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jc w:val="center"/>
              <w:ind w:right="233"/>
              <w:spacing w:after="0"/>
              <w:rPr>
                <w:sz w:val="20"/>
                <w:szCs w:val="20"/>
                <w:color w:val="auto"/>
              </w:rPr>
            </w:pPr>
            <w:r>
              <w:rPr>
                <w:rFonts w:ascii="Arial" w:cs="Arial" w:eastAsia="Arial" w:hAnsi="Arial"/>
                <w:sz w:val="14"/>
                <w:szCs w:val="14"/>
                <w:b w:val="1"/>
                <w:bCs w:val="1"/>
                <w:color w:val="auto"/>
                <w:w w:val="91"/>
              </w:rPr>
              <w:t>September 30,</w:t>
            </w:r>
          </w:p>
        </w:tc>
        <w:tc>
          <w:tcPr>
            <w:tcW w:w="340" w:type="dxa"/>
            <w:vAlign w:val="bottom"/>
          </w:tcPr>
          <w:p>
            <w:pPr>
              <w:spacing w:after="0"/>
              <w:rPr>
                <w:sz w:val="13"/>
                <w:szCs w:val="13"/>
                <w:color w:val="auto"/>
              </w:rPr>
            </w:pPr>
          </w:p>
        </w:tc>
        <w:tc>
          <w:tcPr>
            <w:tcW w:w="1480" w:type="dxa"/>
            <w:vAlign w:val="bottom"/>
          </w:tcPr>
          <w:p>
            <w:pPr>
              <w:jc w:val="right"/>
              <w:ind w:right="37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76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center"/>
              <w:ind w:right="233"/>
              <w:spacing w:after="0"/>
              <w:rPr>
                <w:sz w:val="20"/>
                <w:szCs w:val="20"/>
                <w:color w:val="auto"/>
              </w:rPr>
            </w:pPr>
            <w:r>
              <w:rPr>
                <w:rFonts w:ascii="Arial" w:cs="Arial" w:eastAsia="Arial" w:hAnsi="Arial"/>
                <w:sz w:val="14"/>
                <w:szCs w:val="14"/>
                <w:b w:val="1"/>
                <w:bCs w:val="1"/>
                <w:color w:val="auto"/>
                <w:w w:val="89"/>
              </w:rPr>
              <w:t>2023</w:t>
            </w:r>
          </w:p>
        </w:tc>
        <w:tc>
          <w:tcPr>
            <w:tcW w:w="3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4"/>
        </w:trPr>
        <w:tc>
          <w:tcPr>
            <w:tcW w:w="7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340" w:type="dxa"/>
            <w:vAlign w:val="bottom"/>
            <w:gridSpan w:val="3"/>
          </w:tcPr>
          <w:p>
            <w:pPr>
              <w:jc w:val="right"/>
              <w:ind w:right="631"/>
              <w:spacing w:after="0"/>
              <w:rPr>
                <w:sz w:val="20"/>
                <w:szCs w:val="20"/>
                <w:color w:val="auto"/>
              </w:rPr>
            </w:pPr>
            <w:r>
              <w:rPr>
                <w:rFonts w:ascii="Arial" w:cs="Arial" w:eastAsia="Arial" w:hAnsi="Arial"/>
                <w:sz w:val="14"/>
                <w:szCs w:val="14"/>
                <w:b w:val="1"/>
                <w:bCs w:val="1"/>
                <w:color w:val="auto"/>
              </w:rPr>
              <w:t>(In Thousands, Except Share Data)</w:t>
            </w:r>
          </w:p>
        </w:tc>
        <w:tc>
          <w:tcPr>
            <w:tcW w:w="0" w:type="dxa"/>
            <w:vAlign w:val="bottom"/>
          </w:tcPr>
          <w:p>
            <w:pPr>
              <w:spacing w:after="0"/>
              <w:rPr>
                <w:sz w:val="1"/>
                <w:szCs w:val="1"/>
                <w:color w:val="auto"/>
              </w:rPr>
            </w:pPr>
          </w:p>
        </w:tc>
      </w:tr>
      <w:tr>
        <w:trPr>
          <w:trHeight w:val="238"/>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62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3"/>
              <w:spacing w:after="0"/>
              <w:rPr>
                <w:sz w:val="20"/>
                <w:szCs w:val="20"/>
                <w:color w:val="auto"/>
              </w:rPr>
            </w:pPr>
            <w:r>
              <w:rPr>
                <w:rFonts w:ascii="Arial" w:cs="Arial" w:eastAsia="Arial" w:hAnsi="Arial"/>
                <w:sz w:val="18"/>
                <w:szCs w:val="18"/>
                <w:color w:val="auto"/>
              </w:rPr>
              <w:t>294,786</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131,880</w:t>
            </w:r>
          </w:p>
        </w:tc>
        <w:tc>
          <w:tcPr>
            <w:tcW w:w="0" w:type="dxa"/>
            <w:vAlign w:val="bottom"/>
          </w:tcPr>
          <w:p>
            <w:pPr>
              <w:spacing w:after="0"/>
              <w:rPr>
                <w:sz w:val="1"/>
                <w:szCs w:val="1"/>
                <w:color w:val="auto"/>
              </w:rPr>
            </w:pPr>
          </w:p>
        </w:tc>
      </w:tr>
      <w:tr>
        <w:trPr>
          <w:trHeight w:val="229"/>
        </w:trPr>
        <w:tc>
          <w:tcPr>
            <w:tcW w:w="7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Receivable (net of allowances of $68,035 in 2023 and $69,264 in 2022)</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55,799</w:t>
            </w:r>
          </w:p>
        </w:tc>
        <w:tc>
          <w:tcPr>
            <w:tcW w:w="3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64,521</w:t>
            </w:r>
          </w:p>
        </w:tc>
        <w:tc>
          <w:tcPr>
            <w:tcW w:w="0" w:type="dxa"/>
            <w:vAlign w:val="bottom"/>
          </w:tcPr>
          <w:p>
            <w:pPr>
              <w:spacing w:after="0"/>
              <w:rPr>
                <w:sz w:val="1"/>
                <w:szCs w:val="1"/>
                <w:color w:val="auto"/>
              </w:rPr>
            </w:pPr>
          </w:p>
        </w:tc>
      </w:tr>
      <w:tr>
        <w:trPr>
          <w:trHeight w:val="176"/>
        </w:trPr>
        <w:tc>
          <w:tcPr>
            <w:tcW w:w="7620" w:type="dxa"/>
            <w:vAlign w:val="bottom"/>
          </w:tcPr>
          <w:p>
            <w:pPr>
              <w:ind w:left="220"/>
              <w:spacing w:after="0" w:line="176" w:lineRule="exact"/>
              <w:rPr>
                <w:sz w:val="20"/>
                <w:szCs w:val="20"/>
                <w:color w:val="auto"/>
              </w:rPr>
            </w:pPr>
            <w:r>
              <w:rPr>
                <w:rFonts w:ascii="Arial" w:cs="Arial" w:eastAsia="Arial" w:hAnsi="Arial"/>
                <w:sz w:val="18"/>
                <w:szCs w:val="18"/>
                <w:color w:val="auto"/>
                <w:w w:val="98"/>
              </w:rPr>
              <w:t>Lease Merchandise (net of accumulated depreciation and allowances of $451,923 in 2023 and</w:t>
            </w:r>
          </w:p>
        </w:tc>
        <w:tc>
          <w:tcPr>
            <w:tcW w:w="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620" w:type="dxa"/>
            <w:vAlign w:val="bottom"/>
          </w:tcPr>
          <w:p>
            <w:pPr>
              <w:ind w:left="220"/>
              <w:spacing w:after="0"/>
              <w:rPr>
                <w:sz w:val="20"/>
                <w:szCs w:val="20"/>
                <w:color w:val="auto"/>
              </w:rPr>
            </w:pPr>
            <w:r>
              <w:rPr>
                <w:rFonts w:ascii="Arial" w:cs="Arial" w:eastAsia="Arial" w:hAnsi="Arial"/>
                <w:sz w:val="18"/>
                <w:szCs w:val="18"/>
                <w:color w:val="auto"/>
              </w:rPr>
              <w:t>$467,355 in 2022)</w:t>
            </w:r>
          </w:p>
        </w:tc>
        <w:tc>
          <w:tcPr>
            <w:tcW w:w="280" w:type="dxa"/>
            <w:vAlign w:val="bottom"/>
          </w:tcPr>
          <w:p>
            <w:pPr>
              <w:spacing w:after="0"/>
              <w:rPr>
                <w:sz w:val="21"/>
                <w:szCs w:val="21"/>
                <w:color w:val="auto"/>
              </w:rPr>
            </w:pPr>
          </w:p>
        </w:tc>
        <w:tc>
          <w:tcPr>
            <w:tcW w:w="1520" w:type="dxa"/>
            <w:vAlign w:val="bottom"/>
          </w:tcPr>
          <w:p>
            <w:pPr>
              <w:jc w:val="right"/>
              <w:ind w:right="33"/>
              <w:spacing w:after="0"/>
              <w:rPr>
                <w:sz w:val="20"/>
                <w:szCs w:val="20"/>
                <w:color w:val="auto"/>
              </w:rPr>
            </w:pPr>
            <w:r>
              <w:rPr>
                <w:rFonts w:ascii="Arial" w:cs="Arial" w:eastAsia="Arial" w:hAnsi="Arial"/>
                <w:sz w:val="18"/>
                <w:szCs w:val="18"/>
                <w:color w:val="auto"/>
              </w:rPr>
              <w:t>521,226</w:t>
            </w:r>
          </w:p>
        </w:tc>
        <w:tc>
          <w:tcPr>
            <w:tcW w:w="3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648,043</w:t>
            </w:r>
          </w:p>
        </w:tc>
        <w:tc>
          <w:tcPr>
            <w:tcW w:w="0" w:type="dxa"/>
            <w:vAlign w:val="bottom"/>
          </w:tcPr>
          <w:p>
            <w:pPr>
              <w:spacing w:after="0"/>
              <w:rPr>
                <w:sz w:val="1"/>
                <w:szCs w:val="1"/>
                <w:color w:val="auto"/>
              </w:rPr>
            </w:pPr>
          </w:p>
        </w:tc>
      </w:tr>
      <w:tr>
        <w:trPr>
          <w:trHeight w:val="230"/>
        </w:trPr>
        <w:tc>
          <w:tcPr>
            <w:tcW w:w="76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2"/>
              </w:rPr>
              <w:t>Loans Receivable (net of allowances and unamortized fees of $49,754 in 2023 and $53,635 in 2022)</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119,929</w:t>
            </w:r>
          </w:p>
        </w:tc>
        <w:tc>
          <w:tcPr>
            <w:tcW w:w="3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130,966</w:t>
            </w:r>
          </w:p>
        </w:tc>
        <w:tc>
          <w:tcPr>
            <w:tcW w:w="0" w:type="dxa"/>
            <w:vAlign w:val="bottom"/>
          </w:tcPr>
          <w:p>
            <w:pPr>
              <w:spacing w:after="0"/>
              <w:rPr>
                <w:sz w:val="1"/>
                <w:szCs w:val="1"/>
                <w:color w:val="auto"/>
              </w:rPr>
            </w:pPr>
          </w:p>
        </w:tc>
      </w:tr>
      <w:tr>
        <w:trPr>
          <w:trHeight w:val="229"/>
        </w:trPr>
        <w:tc>
          <w:tcPr>
            <w:tcW w:w="7620" w:type="dxa"/>
            <w:vAlign w:val="bottom"/>
          </w:tcPr>
          <w:p>
            <w:pPr>
              <w:ind w:left="220"/>
              <w:spacing w:after="0"/>
              <w:rPr>
                <w:sz w:val="20"/>
                <w:szCs w:val="20"/>
                <w:color w:val="auto"/>
              </w:rPr>
            </w:pPr>
            <w:r>
              <w:rPr>
                <w:rFonts w:ascii="Arial" w:cs="Arial" w:eastAsia="Arial" w:hAnsi="Arial"/>
                <w:sz w:val="18"/>
                <w:szCs w:val="18"/>
                <w:color w:val="auto"/>
              </w:rPr>
              <w:t>Property and Equipment, Net</w:t>
            </w:r>
          </w:p>
        </w:tc>
        <w:tc>
          <w:tcPr>
            <w:tcW w:w="280" w:type="dxa"/>
            <w:vAlign w:val="bottom"/>
          </w:tcPr>
          <w:p>
            <w:pPr>
              <w:spacing w:after="0"/>
              <w:rPr>
                <w:sz w:val="19"/>
                <w:szCs w:val="19"/>
                <w:color w:val="auto"/>
              </w:rPr>
            </w:pPr>
          </w:p>
        </w:tc>
        <w:tc>
          <w:tcPr>
            <w:tcW w:w="1520" w:type="dxa"/>
            <w:vAlign w:val="bottom"/>
          </w:tcPr>
          <w:p>
            <w:pPr>
              <w:jc w:val="right"/>
              <w:ind w:right="33"/>
              <w:spacing w:after="0"/>
              <w:rPr>
                <w:sz w:val="20"/>
                <w:szCs w:val="20"/>
                <w:color w:val="auto"/>
              </w:rPr>
            </w:pPr>
            <w:r>
              <w:rPr>
                <w:rFonts w:ascii="Arial" w:cs="Arial" w:eastAsia="Arial" w:hAnsi="Arial"/>
                <w:sz w:val="18"/>
                <w:szCs w:val="18"/>
                <w:color w:val="auto"/>
              </w:rPr>
              <w:t>23,926</w:t>
            </w:r>
          </w:p>
        </w:tc>
        <w:tc>
          <w:tcPr>
            <w:tcW w:w="3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23,852</w:t>
            </w:r>
          </w:p>
        </w:tc>
        <w:tc>
          <w:tcPr>
            <w:tcW w:w="0" w:type="dxa"/>
            <w:vAlign w:val="bottom"/>
          </w:tcPr>
          <w:p>
            <w:pPr>
              <w:spacing w:after="0"/>
              <w:rPr>
                <w:sz w:val="1"/>
                <w:szCs w:val="1"/>
                <w:color w:val="auto"/>
              </w:rPr>
            </w:pPr>
          </w:p>
        </w:tc>
      </w:tr>
      <w:tr>
        <w:trPr>
          <w:trHeight w:val="229"/>
        </w:trPr>
        <w:tc>
          <w:tcPr>
            <w:tcW w:w="7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Lease Right-of-Use Assets</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9,932</w:t>
            </w:r>
          </w:p>
        </w:tc>
        <w:tc>
          <w:tcPr>
            <w:tcW w:w="3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11,875</w:t>
            </w:r>
          </w:p>
        </w:tc>
        <w:tc>
          <w:tcPr>
            <w:tcW w:w="0" w:type="dxa"/>
            <w:vAlign w:val="bottom"/>
          </w:tcPr>
          <w:p>
            <w:pPr>
              <w:spacing w:after="0"/>
              <w:rPr>
                <w:sz w:val="1"/>
                <w:szCs w:val="1"/>
                <w:color w:val="auto"/>
              </w:rPr>
            </w:pPr>
          </w:p>
        </w:tc>
      </w:tr>
      <w:tr>
        <w:trPr>
          <w:trHeight w:val="230"/>
        </w:trPr>
        <w:tc>
          <w:tcPr>
            <w:tcW w:w="7620" w:type="dxa"/>
            <w:vAlign w:val="bottom"/>
          </w:tcPr>
          <w:p>
            <w:pPr>
              <w:ind w:left="22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19"/>
                <w:szCs w:val="19"/>
                <w:color w:val="auto"/>
              </w:rPr>
            </w:pPr>
          </w:p>
        </w:tc>
        <w:tc>
          <w:tcPr>
            <w:tcW w:w="1520" w:type="dxa"/>
            <w:vAlign w:val="bottom"/>
          </w:tcPr>
          <w:p>
            <w:pPr>
              <w:jc w:val="right"/>
              <w:ind w:right="33"/>
              <w:spacing w:after="0"/>
              <w:rPr>
                <w:sz w:val="20"/>
                <w:szCs w:val="20"/>
                <w:color w:val="auto"/>
              </w:rPr>
            </w:pPr>
            <w:r>
              <w:rPr>
                <w:rFonts w:ascii="Arial" w:cs="Arial" w:eastAsia="Arial" w:hAnsi="Arial"/>
                <w:sz w:val="18"/>
                <w:szCs w:val="18"/>
                <w:color w:val="auto"/>
              </w:rPr>
              <w:t>296,061</w:t>
            </w:r>
          </w:p>
        </w:tc>
        <w:tc>
          <w:tcPr>
            <w:tcW w:w="3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296,061</w:t>
            </w:r>
          </w:p>
        </w:tc>
        <w:tc>
          <w:tcPr>
            <w:tcW w:w="0" w:type="dxa"/>
            <w:vAlign w:val="bottom"/>
          </w:tcPr>
          <w:p>
            <w:pPr>
              <w:spacing w:after="0"/>
              <w:rPr>
                <w:sz w:val="1"/>
                <w:szCs w:val="1"/>
                <w:color w:val="auto"/>
              </w:rPr>
            </w:pPr>
          </w:p>
        </w:tc>
      </w:tr>
      <w:tr>
        <w:trPr>
          <w:trHeight w:val="229"/>
        </w:trPr>
        <w:tc>
          <w:tcPr>
            <w:tcW w:w="7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Intangibles, Net</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97,314</w:t>
            </w:r>
          </w:p>
        </w:tc>
        <w:tc>
          <w:tcPr>
            <w:tcW w:w="3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114,411</w:t>
            </w:r>
          </w:p>
        </w:tc>
        <w:tc>
          <w:tcPr>
            <w:tcW w:w="0" w:type="dxa"/>
            <w:vAlign w:val="bottom"/>
          </w:tcPr>
          <w:p>
            <w:pPr>
              <w:spacing w:after="0"/>
              <w:rPr>
                <w:sz w:val="1"/>
                <w:szCs w:val="1"/>
                <w:color w:val="auto"/>
              </w:rPr>
            </w:pPr>
          </w:p>
        </w:tc>
      </w:tr>
      <w:tr>
        <w:trPr>
          <w:trHeight w:val="229"/>
        </w:trPr>
        <w:tc>
          <w:tcPr>
            <w:tcW w:w="7620" w:type="dxa"/>
            <w:vAlign w:val="bottom"/>
          </w:tcPr>
          <w:p>
            <w:pPr>
              <w:ind w:left="220"/>
              <w:spacing w:after="0"/>
              <w:rPr>
                <w:sz w:val="20"/>
                <w:szCs w:val="20"/>
                <w:color w:val="auto"/>
              </w:rPr>
            </w:pPr>
            <w:r>
              <w:rPr>
                <w:rFonts w:ascii="Arial" w:cs="Arial" w:eastAsia="Arial" w:hAnsi="Arial"/>
                <w:sz w:val="18"/>
                <w:szCs w:val="18"/>
                <w:color w:val="auto"/>
              </w:rPr>
              <w:t>Income Tax Receivable</w:t>
            </w:r>
          </w:p>
        </w:tc>
        <w:tc>
          <w:tcPr>
            <w:tcW w:w="280" w:type="dxa"/>
            <w:vAlign w:val="bottom"/>
          </w:tcPr>
          <w:p>
            <w:pPr>
              <w:spacing w:after="0"/>
              <w:rPr>
                <w:sz w:val="19"/>
                <w:szCs w:val="19"/>
                <w:color w:val="auto"/>
              </w:rPr>
            </w:pPr>
          </w:p>
        </w:tc>
        <w:tc>
          <w:tcPr>
            <w:tcW w:w="1520" w:type="dxa"/>
            <w:vAlign w:val="bottom"/>
          </w:tcPr>
          <w:p>
            <w:pPr>
              <w:jc w:val="right"/>
              <w:ind w:right="33"/>
              <w:spacing w:after="0"/>
              <w:rPr>
                <w:sz w:val="20"/>
                <w:szCs w:val="20"/>
                <w:color w:val="auto"/>
              </w:rPr>
            </w:pPr>
            <w:r>
              <w:rPr>
                <w:rFonts w:ascii="Arial" w:cs="Arial" w:eastAsia="Arial" w:hAnsi="Arial"/>
                <w:sz w:val="18"/>
                <w:szCs w:val="18"/>
                <w:color w:val="auto"/>
              </w:rPr>
              <w:t>20,764</w:t>
            </w:r>
          </w:p>
        </w:tc>
        <w:tc>
          <w:tcPr>
            <w:tcW w:w="3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18,864</w:t>
            </w:r>
          </w:p>
        </w:tc>
        <w:tc>
          <w:tcPr>
            <w:tcW w:w="0" w:type="dxa"/>
            <w:vAlign w:val="bottom"/>
          </w:tcPr>
          <w:p>
            <w:pPr>
              <w:spacing w:after="0"/>
              <w:rPr>
                <w:sz w:val="1"/>
                <w:szCs w:val="1"/>
                <w:color w:val="auto"/>
              </w:rPr>
            </w:pPr>
          </w:p>
        </w:tc>
      </w:tr>
      <w:tr>
        <w:trPr>
          <w:trHeight w:val="230"/>
        </w:trPr>
        <w:tc>
          <w:tcPr>
            <w:tcW w:w="7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Income Tax Assets</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2,851</w:t>
            </w:r>
          </w:p>
        </w:tc>
        <w:tc>
          <w:tcPr>
            <w:tcW w:w="3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2,955</w:t>
            </w:r>
          </w:p>
        </w:tc>
        <w:tc>
          <w:tcPr>
            <w:tcW w:w="0" w:type="dxa"/>
            <w:vAlign w:val="bottom"/>
          </w:tcPr>
          <w:p>
            <w:pPr>
              <w:spacing w:after="0"/>
              <w:rPr>
                <w:sz w:val="1"/>
                <w:szCs w:val="1"/>
                <w:color w:val="auto"/>
              </w:rPr>
            </w:pPr>
          </w:p>
        </w:tc>
      </w:tr>
      <w:tr>
        <w:trPr>
          <w:trHeight w:val="229"/>
        </w:trPr>
        <w:tc>
          <w:tcPr>
            <w:tcW w:w="76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Prepaid Expenses and Other Assets</w:t>
            </w: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46,569</w:t>
            </w:r>
          </w:p>
        </w:tc>
        <w:tc>
          <w:tcPr>
            <w:tcW w:w="3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48,481</w:t>
            </w:r>
          </w:p>
        </w:tc>
        <w:tc>
          <w:tcPr>
            <w:tcW w:w="0" w:type="dxa"/>
            <w:vAlign w:val="bottom"/>
          </w:tcPr>
          <w:p>
            <w:pPr>
              <w:spacing w:after="0"/>
              <w:rPr>
                <w:sz w:val="1"/>
                <w:szCs w:val="1"/>
                <w:color w:val="auto"/>
              </w:rPr>
            </w:pPr>
          </w:p>
        </w:tc>
      </w:tr>
      <w:tr>
        <w:trPr>
          <w:trHeight w:val="248"/>
        </w:trPr>
        <w:tc>
          <w:tcPr>
            <w:tcW w:w="76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1,489,157</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1,491,909</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&amp; SHAREHOLDERS’ EQUITY:</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6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146,535</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135,025</w:t>
            </w:r>
          </w:p>
        </w:tc>
        <w:tc>
          <w:tcPr>
            <w:tcW w:w="0" w:type="dxa"/>
            <w:vAlign w:val="bottom"/>
          </w:tcPr>
          <w:p>
            <w:pPr>
              <w:spacing w:after="0"/>
              <w:rPr>
                <w:sz w:val="1"/>
                <w:szCs w:val="1"/>
                <w:color w:val="auto"/>
              </w:rPr>
            </w:pPr>
          </w:p>
        </w:tc>
      </w:tr>
      <w:tr>
        <w:trPr>
          <w:trHeight w:val="230"/>
        </w:trPr>
        <w:tc>
          <w:tcPr>
            <w:tcW w:w="7620" w:type="dxa"/>
            <w:vAlign w:val="bottom"/>
          </w:tcPr>
          <w:p>
            <w:pPr>
              <w:ind w:left="220"/>
              <w:spacing w:after="0"/>
              <w:rPr>
                <w:sz w:val="20"/>
                <w:szCs w:val="20"/>
                <w:color w:val="auto"/>
              </w:rPr>
            </w:pPr>
            <w:r>
              <w:rPr>
                <w:rFonts w:ascii="Arial" w:cs="Arial" w:eastAsia="Arial" w:hAnsi="Arial"/>
                <w:sz w:val="18"/>
                <w:szCs w:val="18"/>
                <w:color w:val="auto"/>
              </w:rPr>
              <w:t>Deferred Income Tax Liabilities</w:t>
            </w:r>
          </w:p>
        </w:tc>
        <w:tc>
          <w:tcPr>
            <w:tcW w:w="280" w:type="dxa"/>
            <w:vAlign w:val="bottom"/>
          </w:tcPr>
          <w:p>
            <w:pPr>
              <w:spacing w:after="0"/>
              <w:rPr>
                <w:sz w:val="19"/>
                <w:szCs w:val="19"/>
                <w:color w:val="auto"/>
              </w:rPr>
            </w:pPr>
          </w:p>
        </w:tc>
        <w:tc>
          <w:tcPr>
            <w:tcW w:w="1520" w:type="dxa"/>
            <w:vAlign w:val="bottom"/>
          </w:tcPr>
          <w:p>
            <w:pPr>
              <w:jc w:val="right"/>
              <w:ind w:right="33"/>
              <w:spacing w:after="0"/>
              <w:rPr>
                <w:sz w:val="20"/>
                <w:szCs w:val="20"/>
                <w:color w:val="auto"/>
              </w:rPr>
            </w:pPr>
            <w:r>
              <w:rPr>
                <w:rFonts w:ascii="Arial" w:cs="Arial" w:eastAsia="Arial" w:hAnsi="Arial"/>
                <w:sz w:val="18"/>
                <w:szCs w:val="18"/>
                <w:color w:val="auto"/>
              </w:rPr>
              <w:t>104,820</w:t>
            </w:r>
          </w:p>
        </w:tc>
        <w:tc>
          <w:tcPr>
            <w:tcW w:w="3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137,261</w:t>
            </w:r>
          </w:p>
        </w:tc>
        <w:tc>
          <w:tcPr>
            <w:tcW w:w="0" w:type="dxa"/>
            <w:vAlign w:val="bottom"/>
          </w:tcPr>
          <w:p>
            <w:pPr>
              <w:spacing w:after="0"/>
              <w:rPr>
                <w:sz w:val="1"/>
                <w:szCs w:val="1"/>
                <w:color w:val="auto"/>
              </w:rPr>
            </w:pPr>
          </w:p>
        </w:tc>
      </w:tr>
      <w:tr>
        <w:trPr>
          <w:trHeight w:val="229"/>
        </w:trPr>
        <w:tc>
          <w:tcPr>
            <w:tcW w:w="7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Customer Deposits and Advance Payments</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30,611</w:t>
            </w:r>
          </w:p>
        </w:tc>
        <w:tc>
          <w:tcPr>
            <w:tcW w:w="3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37,074</w:t>
            </w:r>
          </w:p>
        </w:tc>
        <w:tc>
          <w:tcPr>
            <w:tcW w:w="0" w:type="dxa"/>
            <w:vAlign w:val="bottom"/>
          </w:tcPr>
          <w:p>
            <w:pPr>
              <w:spacing w:after="0"/>
              <w:rPr>
                <w:sz w:val="1"/>
                <w:szCs w:val="1"/>
                <w:color w:val="auto"/>
              </w:rPr>
            </w:pPr>
          </w:p>
        </w:tc>
      </w:tr>
      <w:tr>
        <w:trPr>
          <w:trHeight w:val="230"/>
        </w:trPr>
        <w:tc>
          <w:tcPr>
            <w:tcW w:w="7620" w:type="dxa"/>
            <w:vAlign w:val="bottom"/>
          </w:tcPr>
          <w:p>
            <w:pPr>
              <w:ind w:left="220"/>
              <w:spacing w:after="0"/>
              <w:rPr>
                <w:sz w:val="20"/>
                <w:szCs w:val="20"/>
                <w:color w:val="auto"/>
              </w:rPr>
            </w:pPr>
            <w:r>
              <w:rPr>
                <w:rFonts w:ascii="Arial" w:cs="Arial" w:eastAsia="Arial" w:hAnsi="Arial"/>
                <w:sz w:val="18"/>
                <w:szCs w:val="18"/>
                <w:color w:val="auto"/>
              </w:rPr>
              <w:t>Operating Lease Liabilities</w:t>
            </w:r>
          </w:p>
        </w:tc>
        <w:tc>
          <w:tcPr>
            <w:tcW w:w="280" w:type="dxa"/>
            <w:vAlign w:val="bottom"/>
          </w:tcPr>
          <w:p>
            <w:pPr>
              <w:spacing w:after="0"/>
              <w:rPr>
                <w:sz w:val="19"/>
                <w:szCs w:val="19"/>
                <w:color w:val="auto"/>
              </w:rPr>
            </w:pPr>
          </w:p>
        </w:tc>
        <w:tc>
          <w:tcPr>
            <w:tcW w:w="1520" w:type="dxa"/>
            <w:vAlign w:val="bottom"/>
          </w:tcPr>
          <w:p>
            <w:pPr>
              <w:jc w:val="right"/>
              <w:ind w:right="33"/>
              <w:spacing w:after="0"/>
              <w:rPr>
                <w:sz w:val="20"/>
                <w:szCs w:val="20"/>
                <w:color w:val="auto"/>
              </w:rPr>
            </w:pPr>
            <w:r>
              <w:rPr>
                <w:rFonts w:ascii="Arial" w:cs="Arial" w:eastAsia="Arial" w:hAnsi="Arial"/>
                <w:sz w:val="18"/>
                <w:szCs w:val="18"/>
                <w:color w:val="auto"/>
              </w:rPr>
              <w:t>17,114</w:t>
            </w:r>
          </w:p>
        </w:tc>
        <w:tc>
          <w:tcPr>
            <w:tcW w:w="3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21,122</w:t>
            </w:r>
          </w:p>
        </w:tc>
        <w:tc>
          <w:tcPr>
            <w:tcW w:w="0" w:type="dxa"/>
            <w:vAlign w:val="bottom"/>
          </w:tcPr>
          <w:p>
            <w:pPr>
              <w:spacing w:after="0"/>
              <w:rPr>
                <w:sz w:val="1"/>
                <w:szCs w:val="1"/>
                <w:color w:val="auto"/>
              </w:rPr>
            </w:pPr>
          </w:p>
        </w:tc>
      </w:tr>
      <w:tr>
        <w:trPr>
          <w:trHeight w:val="230"/>
        </w:trPr>
        <w:tc>
          <w:tcPr>
            <w:tcW w:w="7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Debt</w:t>
            </w:r>
          </w:p>
        </w:tc>
        <w:tc>
          <w:tcPr>
            <w:tcW w:w="2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591,940</w:t>
            </w:r>
          </w:p>
        </w:tc>
        <w:tc>
          <w:tcPr>
            <w:tcW w:w="3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590,966</w:t>
            </w:r>
          </w:p>
        </w:tc>
        <w:tc>
          <w:tcPr>
            <w:tcW w:w="0" w:type="dxa"/>
            <w:vAlign w:val="bottom"/>
          </w:tcPr>
          <w:p>
            <w:pPr>
              <w:spacing w:after="0"/>
              <w:rPr>
                <w:sz w:val="1"/>
                <w:szCs w:val="1"/>
                <w:color w:val="auto"/>
              </w:rPr>
            </w:pPr>
          </w:p>
        </w:tc>
      </w:tr>
      <w:tr>
        <w:trPr>
          <w:trHeight w:val="223"/>
        </w:trPr>
        <w:tc>
          <w:tcPr>
            <w:tcW w:w="7620" w:type="dxa"/>
            <w:vAlign w:val="bottom"/>
          </w:tcPr>
          <w:p>
            <w:pPr>
              <w:ind w:left="680"/>
              <w:spacing w:after="0"/>
              <w:rPr>
                <w:sz w:val="20"/>
                <w:szCs w:val="20"/>
                <w:color w:val="auto"/>
              </w:rPr>
            </w:pPr>
            <w:r>
              <w:rPr>
                <w:rFonts w:ascii="Arial" w:cs="Arial" w:eastAsia="Arial" w:hAnsi="Arial"/>
                <w:sz w:val="18"/>
                <w:szCs w:val="18"/>
                <w:color w:val="auto"/>
              </w:rPr>
              <w:t>Total Liabilities</w:t>
            </w:r>
          </w:p>
        </w:tc>
        <w:tc>
          <w:tcPr>
            <w:tcW w:w="280" w:type="dxa"/>
            <w:vAlign w:val="bottom"/>
          </w:tcPr>
          <w:p>
            <w:pPr>
              <w:spacing w:after="0"/>
              <w:rPr>
                <w:sz w:val="19"/>
                <w:szCs w:val="19"/>
                <w:color w:val="auto"/>
              </w:rPr>
            </w:pPr>
          </w:p>
        </w:tc>
        <w:tc>
          <w:tcPr>
            <w:tcW w:w="1520" w:type="dxa"/>
            <w:vAlign w:val="bottom"/>
          </w:tcPr>
          <w:p>
            <w:pPr>
              <w:jc w:val="right"/>
              <w:ind w:right="33"/>
              <w:spacing w:after="0"/>
              <w:rPr>
                <w:sz w:val="20"/>
                <w:szCs w:val="20"/>
                <w:color w:val="auto"/>
              </w:rPr>
            </w:pPr>
            <w:r>
              <w:rPr>
                <w:rFonts w:ascii="Arial" w:cs="Arial" w:eastAsia="Arial" w:hAnsi="Arial"/>
                <w:sz w:val="18"/>
                <w:szCs w:val="18"/>
                <w:color w:val="auto"/>
              </w:rPr>
              <w:t>891,020</w:t>
            </w:r>
          </w:p>
        </w:tc>
        <w:tc>
          <w:tcPr>
            <w:tcW w:w="3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921,448</w:t>
            </w:r>
          </w:p>
        </w:tc>
        <w:tc>
          <w:tcPr>
            <w:tcW w:w="0" w:type="dxa"/>
            <w:vAlign w:val="bottom"/>
          </w:tcPr>
          <w:p>
            <w:pPr>
              <w:spacing w:after="0"/>
              <w:rPr>
                <w:sz w:val="1"/>
                <w:szCs w:val="1"/>
                <w:color w:val="auto"/>
              </w:rPr>
            </w:pPr>
          </w:p>
        </w:tc>
      </w:tr>
      <w:tr>
        <w:trPr>
          <w:trHeight w:val="230"/>
        </w:trPr>
        <w:tc>
          <w:tcPr>
            <w:tcW w:w="7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Commitments and Contingencies (Note 4)</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tcPr>
          <w:p>
            <w:pPr>
              <w:ind w:left="20"/>
              <w:spacing w:after="0"/>
              <w:rPr>
                <w:sz w:val="20"/>
                <w:szCs w:val="20"/>
                <w:color w:val="auto"/>
              </w:rPr>
            </w:pPr>
            <w:r>
              <w:rPr>
                <w:rFonts w:ascii="Arial" w:cs="Arial" w:eastAsia="Arial" w:hAnsi="Arial"/>
                <w:sz w:val="18"/>
                <w:szCs w:val="18"/>
                <w:b w:val="1"/>
                <w:bCs w:val="1"/>
                <w:color w:val="auto"/>
              </w:rPr>
              <w:t>SHAREHOLDERS' EQUITY:</w:t>
            </w:r>
          </w:p>
        </w:tc>
        <w:tc>
          <w:tcPr>
            <w:tcW w:w="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6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1"/>
              </w:rPr>
              <w:t>Common Stock, Par Value $0.50 Per Share: Authorized: 225,000,000 Shares at September 30, 2023</w:t>
            </w:r>
          </w:p>
        </w:tc>
        <w:tc>
          <w:tcPr>
            <w:tcW w:w="2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6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1"/>
              </w:rPr>
              <w:t>and December 31, 2022; Shares Issued: 82,078,654 at September 30, 2023 and December 31, 2022</w:t>
            </w:r>
          </w:p>
        </w:tc>
        <w:tc>
          <w:tcPr>
            <w:tcW w:w="28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41,039</w:t>
            </w:r>
          </w:p>
        </w:tc>
        <w:tc>
          <w:tcPr>
            <w:tcW w:w="34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41,039</w:t>
            </w:r>
          </w:p>
        </w:tc>
        <w:tc>
          <w:tcPr>
            <w:tcW w:w="0" w:type="dxa"/>
            <w:vAlign w:val="bottom"/>
          </w:tcPr>
          <w:p>
            <w:pPr>
              <w:spacing w:after="0"/>
              <w:rPr>
                <w:sz w:val="1"/>
                <w:szCs w:val="1"/>
                <w:color w:val="auto"/>
              </w:rPr>
            </w:pPr>
          </w:p>
        </w:tc>
      </w:tr>
      <w:tr>
        <w:trPr>
          <w:trHeight w:val="230"/>
        </w:trPr>
        <w:tc>
          <w:tcPr>
            <w:tcW w:w="762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19"/>
                <w:szCs w:val="19"/>
                <w:color w:val="auto"/>
              </w:rPr>
            </w:pPr>
          </w:p>
        </w:tc>
        <w:tc>
          <w:tcPr>
            <w:tcW w:w="1520" w:type="dxa"/>
            <w:vAlign w:val="bottom"/>
          </w:tcPr>
          <w:p>
            <w:pPr>
              <w:jc w:val="right"/>
              <w:ind w:right="33"/>
              <w:spacing w:after="0"/>
              <w:rPr>
                <w:sz w:val="20"/>
                <w:szCs w:val="20"/>
                <w:color w:val="auto"/>
              </w:rPr>
            </w:pPr>
            <w:r>
              <w:rPr>
                <w:rFonts w:ascii="Arial" w:cs="Arial" w:eastAsia="Arial" w:hAnsi="Arial"/>
                <w:sz w:val="18"/>
                <w:szCs w:val="18"/>
                <w:color w:val="auto"/>
              </w:rPr>
              <w:t>347,806</w:t>
            </w:r>
          </w:p>
        </w:tc>
        <w:tc>
          <w:tcPr>
            <w:tcW w:w="3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338,814</w:t>
            </w:r>
          </w:p>
        </w:tc>
        <w:tc>
          <w:tcPr>
            <w:tcW w:w="0" w:type="dxa"/>
            <w:vAlign w:val="bottom"/>
          </w:tcPr>
          <w:p>
            <w:pPr>
              <w:spacing w:after="0"/>
              <w:rPr>
                <w:sz w:val="1"/>
                <w:szCs w:val="1"/>
                <w:color w:val="auto"/>
              </w:rPr>
            </w:pPr>
          </w:p>
        </w:tc>
      </w:tr>
      <w:tr>
        <w:trPr>
          <w:trHeight w:val="230"/>
        </w:trPr>
        <w:tc>
          <w:tcPr>
            <w:tcW w:w="7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2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1,274,498</w:t>
            </w:r>
          </w:p>
        </w:tc>
        <w:tc>
          <w:tcPr>
            <w:tcW w:w="3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1,154,235</w:t>
            </w:r>
          </w:p>
        </w:tc>
        <w:tc>
          <w:tcPr>
            <w:tcW w:w="0" w:type="dxa"/>
            <w:vAlign w:val="bottom"/>
          </w:tcPr>
          <w:p>
            <w:pPr>
              <w:spacing w:after="0"/>
              <w:rPr>
                <w:sz w:val="1"/>
                <w:szCs w:val="1"/>
                <w:color w:val="auto"/>
              </w:rPr>
            </w:pPr>
          </w:p>
        </w:tc>
      </w:tr>
      <w:tr>
        <w:trPr>
          <w:trHeight w:val="223"/>
        </w:trPr>
        <w:tc>
          <w:tcPr>
            <w:tcW w:w="7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ind w:right="33"/>
              <w:spacing w:after="0"/>
              <w:rPr>
                <w:sz w:val="20"/>
                <w:szCs w:val="20"/>
                <w:color w:val="auto"/>
              </w:rPr>
            </w:pPr>
            <w:r>
              <w:rPr>
                <w:rFonts w:ascii="Arial" w:cs="Arial" w:eastAsia="Arial" w:hAnsi="Arial"/>
                <w:sz w:val="18"/>
                <w:szCs w:val="18"/>
                <w:color w:val="auto"/>
              </w:rPr>
              <w:t>1,663,343</w:t>
            </w:r>
          </w:p>
        </w:tc>
        <w:tc>
          <w:tcPr>
            <w:tcW w:w="3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1,534,088</w:t>
            </w:r>
          </w:p>
        </w:tc>
        <w:tc>
          <w:tcPr>
            <w:tcW w:w="0" w:type="dxa"/>
            <w:vAlign w:val="bottom"/>
          </w:tcPr>
          <w:p>
            <w:pPr>
              <w:spacing w:after="0"/>
              <w:rPr>
                <w:sz w:val="1"/>
                <w:szCs w:val="1"/>
                <w:color w:val="auto"/>
              </w:rPr>
            </w:pPr>
          </w:p>
        </w:tc>
      </w:tr>
      <w:tr>
        <w:trPr>
          <w:trHeight w:val="229"/>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Treasury Shares at Cost</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w w:val="93"/>
              </w:rPr>
              <w:t>Common Stock: 37,356,392 Shares at September 30, 2023 and 34,044,102 at December 31, 2022</w:t>
            </w: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(1,065,206)</w:t>
            </w:r>
          </w:p>
        </w:tc>
        <w:tc>
          <w:tcPr>
            <w:tcW w:w="3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(963,627)</w:t>
            </w:r>
          </w:p>
        </w:tc>
        <w:tc>
          <w:tcPr>
            <w:tcW w:w="0" w:type="dxa"/>
            <w:vAlign w:val="bottom"/>
          </w:tcPr>
          <w:p>
            <w:pPr>
              <w:spacing w:after="0"/>
              <w:rPr>
                <w:sz w:val="1"/>
                <w:szCs w:val="1"/>
                <w:color w:val="auto"/>
              </w:rPr>
            </w:pPr>
          </w:p>
        </w:tc>
      </w:tr>
      <w:tr>
        <w:trPr>
          <w:trHeight w:val="223"/>
        </w:trPr>
        <w:tc>
          <w:tcPr>
            <w:tcW w:w="76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Shareholders’ Equity</w:t>
            </w:r>
          </w:p>
        </w:tc>
        <w:tc>
          <w:tcPr>
            <w:tcW w:w="2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598,137</w:t>
            </w:r>
          </w:p>
        </w:tc>
        <w:tc>
          <w:tcPr>
            <w:tcW w:w="3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570,461</w:t>
            </w:r>
          </w:p>
        </w:tc>
        <w:tc>
          <w:tcPr>
            <w:tcW w:w="0" w:type="dxa"/>
            <w:vAlign w:val="bottom"/>
          </w:tcPr>
          <w:p>
            <w:pPr>
              <w:spacing w:after="0"/>
              <w:rPr>
                <w:sz w:val="1"/>
                <w:szCs w:val="1"/>
                <w:color w:val="auto"/>
              </w:rPr>
            </w:pPr>
          </w:p>
        </w:tc>
      </w:tr>
      <w:tr>
        <w:trPr>
          <w:trHeight w:val="223"/>
        </w:trPr>
        <w:tc>
          <w:tcPr>
            <w:tcW w:w="7620" w:type="dxa"/>
            <w:vAlign w:val="bottom"/>
          </w:tcPr>
          <w:p>
            <w:pPr>
              <w:ind w:left="20"/>
              <w:spacing w:after="0"/>
              <w:rPr>
                <w:sz w:val="20"/>
                <w:szCs w:val="20"/>
                <w:color w:val="auto"/>
              </w:rPr>
            </w:pPr>
            <w:r>
              <w:rPr>
                <w:rFonts w:ascii="Arial" w:cs="Arial" w:eastAsia="Arial" w:hAnsi="Arial"/>
                <w:sz w:val="18"/>
                <w:szCs w:val="18"/>
                <w:color w:val="auto"/>
              </w:rPr>
              <w:t>Total Liabilities &amp; Shareholders’ Equity</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1,489,157</w:t>
            </w:r>
          </w:p>
        </w:tc>
        <w:tc>
          <w:tcPr>
            <w:tcW w:w="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1,491,909</w:t>
            </w:r>
          </w:p>
        </w:tc>
        <w:tc>
          <w:tcPr>
            <w:tcW w:w="0" w:type="dxa"/>
            <w:vAlign w:val="bottom"/>
          </w:tcPr>
          <w:p>
            <w:pPr>
              <w:spacing w:after="0"/>
              <w:rPr>
                <w:sz w:val="1"/>
                <w:szCs w:val="1"/>
                <w:color w:val="auto"/>
              </w:rPr>
            </w:pPr>
          </w:p>
        </w:tc>
      </w:tr>
      <w:tr>
        <w:trPr>
          <w:trHeight w:val="21"/>
        </w:trPr>
        <w:tc>
          <w:tcPr>
            <w:tcW w:w="7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Condensed Consolidated Financial Statements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80" w:type="dxa"/>
            <w:vAlign w:val="bottom"/>
            <w:gridSpan w:val="3"/>
          </w:tcPr>
          <w:p>
            <w:pPr>
              <w:jc w:val="right"/>
              <w:ind w:right="812"/>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1780" w:type="dxa"/>
            <w:vAlign w:val="bottom"/>
            <w:gridSpan w:val="2"/>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3"/>
          </w:tcPr>
          <w:p>
            <w:pPr>
              <w:jc w:val="right"/>
              <w:ind w:right="1012"/>
              <w:spacing w:after="0"/>
              <w:rPr>
                <w:sz w:val="20"/>
                <w:szCs w:val="20"/>
                <w:color w:val="auto"/>
              </w:rPr>
            </w:pPr>
            <w:r>
              <w:rPr>
                <w:rFonts w:ascii="Arial" w:cs="Arial" w:eastAsia="Arial" w:hAnsi="Arial"/>
                <w:sz w:val="14"/>
                <w:szCs w:val="14"/>
                <w:b w:val="1"/>
                <w:bCs w:val="1"/>
                <w:color w:val="auto"/>
              </w:rPr>
              <w:t>September 30,</w:t>
            </w:r>
          </w:p>
        </w:tc>
        <w:tc>
          <w:tcPr>
            <w:tcW w:w="3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1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2023</w:t>
            </w:r>
          </w:p>
        </w:tc>
        <w:tc>
          <w:tcPr>
            <w:tcW w:w="6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w w:val="83"/>
              </w:rPr>
              <w:t>2022</w:t>
            </w:r>
          </w:p>
        </w:tc>
        <w:tc>
          <w:tcPr>
            <w:tcW w:w="0" w:type="dxa"/>
            <w:vAlign w:val="bottom"/>
          </w:tcPr>
          <w:p>
            <w:pPr>
              <w:spacing w:after="0"/>
              <w:rPr>
                <w:sz w:val="1"/>
                <w:szCs w:val="1"/>
                <w:color w:val="auto"/>
              </w:rPr>
            </w:pPr>
          </w:p>
        </w:tc>
      </w:tr>
      <w:tr>
        <w:trPr>
          <w:trHeight w:val="194"/>
        </w:trPr>
        <w:tc>
          <w:tcPr>
            <w:tcW w:w="5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40" w:type="dxa"/>
            <w:vAlign w:val="bottom"/>
            <w:gridSpan w:val="3"/>
          </w:tcPr>
          <w:p>
            <w:pPr>
              <w:jc w:val="right"/>
              <w:ind w:right="253"/>
              <w:spacing w:after="0"/>
              <w:rPr>
                <w:sz w:val="20"/>
                <w:szCs w:val="20"/>
                <w:color w:val="auto"/>
              </w:rPr>
            </w:pPr>
            <w:r>
              <w:rPr>
                <w:rFonts w:ascii="Arial" w:cs="Arial" w:eastAsia="Arial" w:hAnsi="Arial"/>
                <w:sz w:val="14"/>
                <w:szCs w:val="14"/>
                <w:b w:val="1"/>
                <w:bCs w:val="1"/>
                <w:color w:val="auto"/>
                <w:w w:val="96"/>
              </w:rPr>
              <w:t>(In Thousands, Except Per Share Data)</w:t>
            </w:r>
          </w:p>
        </w:tc>
        <w:tc>
          <w:tcPr>
            <w:tcW w:w="6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340"/>
              <w:spacing w:after="0"/>
              <w:rPr>
                <w:sz w:val="20"/>
                <w:szCs w:val="20"/>
                <w:color w:val="auto"/>
              </w:rPr>
            </w:pPr>
            <w:r>
              <w:rPr>
                <w:rFonts w:ascii="Arial" w:cs="Arial" w:eastAsia="Arial" w:hAnsi="Arial"/>
                <w:sz w:val="18"/>
                <w:szCs w:val="18"/>
                <w:color w:val="auto"/>
              </w:rPr>
              <w:t>Lease Revenues and Fees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564,183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606,585</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1,776,104</w:t>
            </w:r>
          </w:p>
        </w:tc>
        <w:tc>
          <w:tcPr>
            <w:tcW w:w="6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7"/>
              </w:rPr>
              <w:t>1,930,843</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and Fees on Loans Receivable</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18,694</w:t>
            </w: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19,236</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54,759</w:t>
            </w:r>
          </w:p>
        </w:tc>
        <w:tc>
          <w:tcPr>
            <w:tcW w:w="6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54,886</w:t>
            </w:r>
          </w:p>
        </w:tc>
        <w:tc>
          <w:tcPr>
            <w:tcW w:w="0" w:type="dxa"/>
            <w:vAlign w:val="bottom"/>
          </w:tcPr>
          <w:p>
            <w:pPr>
              <w:spacing w:after="0"/>
              <w:rPr>
                <w:sz w:val="1"/>
                <w:szCs w:val="1"/>
                <w:color w:val="auto"/>
              </w:rPr>
            </w:pPr>
          </w:p>
        </w:tc>
      </w:tr>
      <w:tr>
        <w:trPr>
          <w:trHeight w:val="223"/>
        </w:trPr>
        <w:tc>
          <w:tcPr>
            <w:tcW w:w="5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582,877</w:t>
            </w:r>
          </w:p>
        </w:tc>
        <w:tc>
          <w:tcPr>
            <w:tcW w:w="24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625,821</w:t>
            </w:r>
          </w:p>
        </w:tc>
        <w:tc>
          <w:tcPr>
            <w:tcW w:w="380" w:type="dxa"/>
            <w:vAlign w:val="bottom"/>
          </w:tcPr>
          <w:p>
            <w:pPr>
              <w:spacing w:after="0"/>
              <w:rPr>
                <w:sz w:val="19"/>
                <w:szCs w:val="19"/>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1,830,863</w:t>
            </w:r>
          </w:p>
        </w:tc>
        <w:tc>
          <w:tcPr>
            <w:tcW w:w="6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7"/>
              </w:rPr>
              <w:t>1,985,729</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340"/>
              <w:spacing w:after="0"/>
              <w:rPr>
                <w:sz w:val="20"/>
                <w:szCs w:val="20"/>
                <w:color w:val="auto"/>
              </w:rPr>
            </w:pPr>
            <w:r>
              <w:rPr>
                <w:rFonts w:ascii="Arial" w:cs="Arial" w:eastAsia="Arial" w:hAnsi="Arial"/>
                <w:sz w:val="18"/>
                <w:szCs w:val="18"/>
                <w:color w:val="auto"/>
              </w:rPr>
              <w:t>Depreciation of Lease Merchandise</w:t>
            </w:r>
          </w:p>
        </w:tc>
        <w:tc>
          <w:tcPr>
            <w:tcW w:w="34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381,844</w:t>
            </w:r>
          </w:p>
        </w:tc>
        <w:tc>
          <w:tcPr>
            <w:tcW w:w="24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422,589</w:t>
            </w:r>
          </w:p>
        </w:tc>
        <w:tc>
          <w:tcPr>
            <w:tcW w:w="380" w:type="dxa"/>
            <w:vAlign w:val="bottom"/>
          </w:tcPr>
          <w:p>
            <w:pPr>
              <w:spacing w:after="0"/>
              <w:rPr>
                <w:sz w:val="19"/>
                <w:szCs w:val="19"/>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1,202,157</w:t>
            </w:r>
          </w:p>
        </w:tc>
        <w:tc>
          <w:tcPr>
            <w:tcW w:w="6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7"/>
              </w:rPr>
              <w:t>1,358,713</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Lease Merchandise Write-offs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36,966</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43,537</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116,295</w:t>
            </w:r>
          </w:p>
        </w:tc>
        <w:tc>
          <w:tcPr>
            <w:tcW w:w="6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155,655</w:t>
            </w:r>
          </w:p>
        </w:tc>
        <w:tc>
          <w:tcPr>
            <w:tcW w:w="0" w:type="dxa"/>
            <w:vAlign w:val="bottom"/>
          </w:tcPr>
          <w:p>
            <w:pPr>
              <w:spacing w:after="0"/>
              <w:rPr>
                <w:sz w:val="1"/>
                <w:szCs w:val="1"/>
                <w:color w:val="auto"/>
              </w:rPr>
            </w:pPr>
          </w:p>
        </w:tc>
      </w:tr>
      <w:tr>
        <w:trPr>
          <w:trHeight w:val="229"/>
        </w:trPr>
        <w:tc>
          <w:tcPr>
            <w:tcW w:w="5160" w:type="dxa"/>
            <w:vAlign w:val="bottom"/>
          </w:tcPr>
          <w:p>
            <w:pPr>
              <w:ind w:left="34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109,183</w:t>
            </w:r>
          </w:p>
        </w:tc>
        <w:tc>
          <w:tcPr>
            <w:tcW w:w="24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112,733</w:t>
            </w:r>
          </w:p>
        </w:tc>
        <w:tc>
          <w:tcPr>
            <w:tcW w:w="380" w:type="dxa"/>
            <w:vAlign w:val="bottom"/>
          </w:tcPr>
          <w:p>
            <w:pPr>
              <w:spacing w:after="0"/>
              <w:rPr>
                <w:sz w:val="19"/>
                <w:szCs w:val="19"/>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322,152</w:t>
            </w:r>
          </w:p>
        </w:tc>
        <w:tc>
          <w:tcPr>
            <w:tcW w:w="6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337,997</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Impairment of Goodwill</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10,151</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10,151</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527,993</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589,010</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1,640,604</w:t>
            </w:r>
          </w:p>
        </w:tc>
        <w:tc>
          <w:tcPr>
            <w:tcW w:w="6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1,862,516</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PROFIT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54,884</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36,811</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190,259</w:t>
            </w:r>
          </w:p>
        </w:tc>
        <w:tc>
          <w:tcPr>
            <w:tcW w:w="6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123,213</w:t>
            </w:r>
          </w:p>
        </w:tc>
        <w:tc>
          <w:tcPr>
            <w:tcW w:w="0" w:type="dxa"/>
            <w:vAlign w:val="bottom"/>
          </w:tcPr>
          <w:p>
            <w:pPr>
              <w:spacing w:after="0"/>
              <w:rPr>
                <w:sz w:val="1"/>
                <w:szCs w:val="1"/>
                <w:color w:val="auto"/>
              </w:rPr>
            </w:pPr>
          </w:p>
        </w:tc>
      </w:tr>
      <w:tr>
        <w:trPr>
          <w:trHeight w:val="229"/>
        </w:trPr>
        <w:tc>
          <w:tcPr>
            <w:tcW w:w="51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Interest Expense, Net</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(6,775)</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(9,463)</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(22,549)</w:t>
            </w:r>
          </w:p>
        </w:tc>
        <w:tc>
          <w:tcPr>
            <w:tcW w:w="6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(28,700)</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EARNINGS BEFORE INCOME TAX EXPENSE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48,109</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27,348</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167,710</w:t>
            </w:r>
          </w:p>
        </w:tc>
        <w:tc>
          <w:tcPr>
            <w:tcW w:w="6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94,513</w:t>
            </w:r>
          </w:p>
        </w:tc>
        <w:tc>
          <w:tcPr>
            <w:tcW w:w="0" w:type="dxa"/>
            <w:vAlign w:val="bottom"/>
          </w:tcPr>
          <w:p>
            <w:pPr>
              <w:spacing w:after="0"/>
              <w:rPr>
                <w:sz w:val="1"/>
                <w:szCs w:val="1"/>
                <w:color w:val="auto"/>
              </w:rPr>
            </w:pPr>
          </w:p>
        </w:tc>
      </w:tr>
      <w:tr>
        <w:trPr>
          <w:trHeight w:val="229"/>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INCOME TAX EXPENSE</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13,097</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11,343</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47,447</w:t>
            </w:r>
          </w:p>
        </w:tc>
        <w:tc>
          <w:tcPr>
            <w:tcW w:w="6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31,889</w:t>
            </w:r>
          </w:p>
        </w:tc>
        <w:tc>
          <w:tcPr>
            <w:tcW w:w="0" w:type="dxa"/>
            <w:vAlign w:val="bottom"/>
          </w:tcPr>
          <w:p>
            <w:pPr>
              <w:spacing w:after="0"/>
              <w:rPr>
                <w:sz w:val="1"/>
                <w:szCs w:val="1"/>
                <w:color w:val="auto"/>
              </w:rPr>
            </w:pP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EARNINGS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35,012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16,005</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120,263</w:t>
            </w:r>
          </w:p>
        </w:tc>
        <w:tc>
          <w:tcPr>
            <w:tcW w:w="62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62,624</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EARNINGS PER SHARE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1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0.77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0.32</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2.58</w:t>
            </w:r>
          </w:p>
        </w:tc>
        <w:tc>
          <w:tcPr>
            <w:tcW w:w="62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Assuming Dilution</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0.76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0.32</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2.56</w:t>
            </w:r>
          </w:p>
        </w:tc>
        <w:tc>
          <w:tcPr>
            <w:tcW w:w="6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37"/>
        </w:trPr>
        <w:tc>
          <w:tcPr>
            <w:tcW w:w="51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b w:val="1"/>
                <w:bCs w:val="1"/>
                <w:color w:val="auto"/>
              </w:rPr>
              <w:t>WEIGHTED AVERAGE SHARES OUTSTANDING:</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45,515</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50,461</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46,606</w:t>
            </w:r>
          </w:p>
        </w:tc>
        <w:tc>
          <w:tcPr>
            <w:tcW w:w="6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52,896</w:t>
            </w:r>
          </w:p>
        </w:tc>
        <w:tc>
          <w:tcPr>
            <w:tcW w:w="0" w:type="dxa"/>
            <w:vAlign w:val="bottom"/>
          </w:tcPr>
          <w:p>
            <w:pPr>
              <w:spacing w:after="0"/>
              <w:rPr>
                <w:sz w:val="1"/>
                <w:szCs w:val="1"/>
                <w:color w:val="auto"/>
              </w:rPr>
            </w:pPr>
          </w:p>
        </w:tc>
      </w:tr>
      <w:tr>
        <w:trPr>
          <w:trHeight w:val="230"/>
        </w:trPr>
        <w:tc>
          <w:tcPr>
            <w:tcW w:w="5160" w:type="dxa"/>
            <w:vAlign w:val="bottom"/>
          </w:tcPr>
          <w:p>
            <w:pPr>
              <w:ind w:left="340"/>
              <w:spacing w:after="0"/>
              <w:rPr>
                <w:sz w:val="20"/>
                <w:szCs w:val="20"/>
                <w:color w:val="auto"/>
              </w:rPr>
            </w:pPr>
            <w:r>
              <w:rPr>
                <w:rFonts w:ascii="Arial" w:cs="Arial" w:eastAsia="Arial" w:hAnsi="Arial"/>
                <w:sz w:val="18"/>
                <w:szCs w:val="18"/>
                <w:color w:val="auto"/>
              </w:rPr>
              <w:t>Assuming Dilution</w:t>
            </w:r>
          </w:p>
        </w:tc>
        <w:tc>
          <w:tcPr>
            <w:tcW w:w="340" w:type="dxa"/>
            <w:vAlign w:val="bottom"/>
          </w:tcPr>
          <w:p>
            <w:pPr>
              <w:spacing w:after="0"/>
              <w:rPr>
                <w:sz w:val="20"/>
                <w:szCs w:val="20"/>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46,133</w:t>
            </w:r>
          </w:p>
        </w:tc>
        <w:tc>
          <w:tcPr>
            <w:tcW w:w="240" w:type="dxa"/>
            <w:vAlign w:val="bottom"/>
          </w:tcPr>
          <w:p>
            <w:pPr>
              <w:spacing w:after="0"/>
              <w:rPr>
                <w:sz w:val="20"/>
                <w:szCs w:val="20"/>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50,547</w:t>
            </w:r>
          </w:p>
        </w:tc>
        <w:tc>
          <w:tcPr>
            <w:tcW w:w="380" w:type="dxa"/>
            <w:vAlign w:val="bottom"/>
          </w:tcPr>
          <w:p>
            <w:pPr>
              <w:spacing w:after="0"/>
              <w:rPr>
                <w:sz w:val="20"/>
                <w:szCs w:val="20"/>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47,048</w:t>
            </w:r>
          </w:p>
        </w:tc>
        <w:tc>
          <w:tcPr>
            <w:tcW w:w="6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53,053</w:t>
            </w:r>
          </w:p>
        </w:tc>
        <w:tc>
          <w:tcPr>
            <w:tcW w:w="0" w:type="dxa"/>
            <w:vAlign w:val="bottom"/>
          </w:tcPr>
          <w:p>
            <w:pPr>
              <w:spacing w:after="0"/>
              <w:rPr>
                <w:sz w:val="1"/>
                <w:szCs w:val="1"/>
                <w:color w:val="auto"/>
              </w:rPr>
            </w:pPr>
          </w:p>
        </w:tc>
      </w:tr>
    </w:tbl>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Condensed Consolidated Financial Statements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31" w:right="3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21" w:lineRule="exact"/>
        <w:rPr>
          <w:sz w:val="20"/>
          <w:szCs w:val="20"/>
          <w:color w:val="auto"/>
        </w:rPr>
      </w:pPr>
    </w:p>
    <w:p>
      <w:pPr>
        <w:jc w:val="center"/>
        <w:ind w:left="762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7620"/>
        <w:spacing w:after="0"/>
        <w:rPr>
          <w:sz w:val="20"/>
          <w:szCs w:val="20"/>
          <w:color w:val="auto"/>
        </w:rPr>
      </w:pPr>
      <w:r>
        <w:rPr>
          <w:rFonts w:ascii="Arial" w:cs="Arial" w:eastAsia="Arial" w:hAnsi="Arial"/>
          <w:sz w:val="14"/>
          <w:szCs w:val="14"/>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620" w:type="dxa"/>
            <w:vAlign w:val="bottom"/>
            <w:tcBorders>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691"/>
              <w:spacing w:after="0"/>
              <w:rPr>
                <w:sz w:val="20"/>
                <w:szCs w:val="20"/>
                <w:color w:val="auto"/>
              </w:rPr>
            </w:pPr>
            <w:r>
              <w:rPr>
                <w:rFonts w:ascii="Arial" w:cs="Arial" w:eastAsia="Arial" w:hAnsi="Arial"/>
                <w:sz w:val="14"/>
                <w:szCs w:val="14"/>
                <w:b w:val="1"/>
                <w:bCs w:val="1"/>
                <w:color w:val="auto"/>
              </w:rPr>
              <w:t>2023</w:t>
            </w:r>
          </w:p>
        </w:tc>
        <w:tc>
          <w:tcPr>
            <w:tcW w:w="6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2022</w:t>
            </w:r>
          </w:p>
        </w:tc>
      </w:tr>
      <w:tr>
        <w:trPr>
          <w:trHeight w:val="194"/>
        </w:trPr>
        <w:tc>
          <w:tcPr>
            <w:tcW w:w="76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(In Thousands)</w:t>
            </w:r>
          </w:p>
        </w:tc>
        <w:tc>
          <w:tcPr>
            <w:tcW w:w="1160" w:type="dxa"/>
            <w:vAlign w:val="bottom"/>
          </w:tcPr>
          <w:p>
            <w:pPr>
              <w:spacing w:after="0"/>
              <w:rPr>
                <w:sz w:val="16"/>
                <w:szCs w:val="16"/>
                <w:color w:val="auto"/>
              </w:rPr>
            </w:pPr>
          </w:p>
        </w:tc>
      </w:tr>
      <w:tr>
        <w:trPr>
          <w:trHeight w:val="238"/>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4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29"/>
        </w:trPr>
        <w:tc>
          <w:tcPr>
            <w:tcW w:w="7620" w:type="dxa"/>
            <w:vAlign w:val="bottom"/>
          </w:tcPr>
          <w:p>
            <w:pPr>
              <w:ind w:left="240"/>
              <w:spacing w:after="0"/>
              <w:rPr>
                <w:sz w:val="20"/>
                <w:szCs w:val="20"/>
                <w:color w:val="auto"/>
              </w:rPr>
            </w:pPr>
            <w:r>
              <w:rPr>
                <w:rFonts w:ascii="Arial" w:cs="Arial" w:eastAsia="Arial" w:hAnsi="Arial"/>
                <w:sz w:val="18"/>
                <w:szCs w:val="18"/>
                <w:color w:val="auto"/>
              </w:rPr>
              <w:t>Net Earnings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120,263</w:t>
            </w:r>
          </w:p>
        </w:tc>
        <w:tc>
          <w:tcPr>
            <w:tcW w:w="6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62,624</w:t>
            </w:r>
          </w:p>
        </w:tc>
      </w:tr>
      <w:tr>
        <w:trPr>
          <w:trHeight w:val="229"/>
        </w:trPr>
        <w:tc>
          <w:tcPr>
            <w:tcW w:w="7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Adjustments to Reconcile Net Earnings to Cash Provided by Operating Activities:</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7620" w:type="dxa"/>
            <w:vAlign w:val="bottom"/>
          </w:tcPr>
          <w:p>
            <w:pPr>
              <w:ind w:left="460"/>
              <w:spacing w:after="0"/>
              <w:rPr>
                <w:sz w:val="20"/>
                <w:szCs w:val="20"/>
                <w:color w:val="auto"/>
              </w:rPr>
            </w:pPr>
            <w:r>
              <w:rPr>
                <w:rFonts w:ascii="Arial" w:cs="Arial" w:eastAsia="Arial" w:hAnsi="Arial"/>
                <w:sz w:val="18"/>
                <w:szCs w:val="18"/>
                <w:color w:val="auto"/>
              </w:rPr>
              <w:t>Depreciation of Lease Merchandise</w:t>
            </w:r>
          </w:p>
        </w:tc>
        <w:tc>
          <w:tcPr>
            <w:tcW w:w="420" w:type="dxa"/>
            <w:vAlign w:val="bottom"/>
          </w:tcPr>
          <w:p>
            <w:pPr>
              <w:spacing w:after="0"/>
              <w:rPr>
                <w:sz w:val="19"/>
                <w:szCs w:val="19"/>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1,202,157</w:t>
            </w: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1,358,713</w:t>
            </w:r>
          </w:p>
        </w:tc>
      </w:tr>
      <w:tr>
        <w:trPr>
          <w:trHeight w:val="229"/>
        </w:trPr>
        <w:tc>
          <w:tcPr>
            <w:tcW w:w="76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Other Depreciation and Amortization</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23,876</w:t>
            </w: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25,446</w:t>
            </w:r>
          </w:p>
        </w:tc>
      </w:tr>
      <w:tr>
        <w:trPr>
          <w:trHeight w:val="230"/>
        </w:trPr>
        <w:tc>
          <w:tcPr>
            <w:tcW w:w="7620" w:type="dxa"/>
            <w:vAlign w:val="bottom"/>
          </w:tcPr>
          <w:p>
            <w:pPr>
              <w:ind w:left="460"/>
              <w:spacing w:after="0"/>
              <w:rPr>
                <w:sz w:val="20"/>
                <w:szCs w:val="20"/>
                <w:color w:val="auto"/>
              </w:rPr>
            </w:pPr>
            <w:r>
              <w:rPr>
                <w:rFonts w:ascii="Arial" w:cs="Arial" w:eastAsia="Arial" w:hAnsi="Arial"/>
                <w:sz w:val="18"/>
                <w:szCs w:val="18"/>
                <w:color w:val="auto"/>
              </w:rPr>
              <w:t>Provisions for Accounts Receivable and Loan Losses</w:t>
            </w:r>
          </w:p>
        </w:tc>
        <w:tc>
          <w:tcPr>
            <w:tcW w:w="420" w:type="dxa"/>
            <w:vAlign w:val="bottom"/>
          </w:tcPr>
          <w:p>
            <w:pPr>
              <w:spacing w:after="0"/>
              <w:rPr>
                <w:sz w:val="19"/>
                <w:szCs w:val="19"/>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253,217</w:t>
            </w: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318,314</w:t>
            </w:r>
          </w:p>
        </w:tc>
      </w:tr>
      <w:tr>
        <w:trPr>
          <w:trHeight w:val="229"/>
        </w:trPr>
        <w:tc>
          <w:tcPr>
            <w:tcW w:w="76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Stock-Based Compensation</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19,081</w:t>
            </w: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13,930</w:t>
            </w:r>
          </w:p>
        </w:tc>
      </w:tr>
      <w:tr>
        <w:trPr>
          <w:trHeight w:val="229"/>
        </w:trPr>
        <w:tc>
          <w:tcPr>
            <w:tcW w:w="7620" w:type="dxa"/>
            <w:vAlign w:val="bottom"/>
          </w:tcPr>
          <w:p>
            <w:pPr>
              <w:ind w:left="460"/>
              <w:spacing w:after="0"/>
              <w:rPr>
                <w:sz w:val="20"/>
                <w:szCs w:val="20"/>
                <w:color w:val="auto"/>
              </w:rPr>
            </w:pPr>
            <w:r>
              <w:rPr>
                <w:rFonts w:ascii="Arial" w:cs="Arial" w:eastAsia="Arial" w:hAnsi="Arial"/>
                <w:sz w:val="18"/>
                <w:szCs w:val="18"/>
                <w:color w:val="auto"/>
              </w:rPr>
              <w:t>Deferred Income Taxes</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(32,337)</w:t>
            </w: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(5,748)</w:t>
            </w:r>
          </w:p>
        </w:tc>
      </w:tr>
      <w:tr>
        <w:trPr>
          <w:trHeight w:val="230"/>
        </w:trPr>
        <w:tc>
          <w:tcPr>
            <w:tcW w:w="76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Impairment of Goodwill</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10,151</w:t>
            </w:r>
          </w:p>
        </w:tc>
      </w:tr>
      <w:tr>
        <w:trPr>
          <w:trHeight w:val="229"/>
        </w:trPr>
        <w:tc>
          <w:tcPr>
            <w:tcW w:w="7620" w:type="dxa"/>
            <w:vAlign w:val="bottom"/>
          </w:tcPr>
          <w:p>
            <w:pPr>
              <w:ind w:left="460"/>
              <w:spacing w:after="0"/>
              <w:rPr>
                <w:sz w:val="20"/>
                <w:szCs w:val="20"/>
                <w:color w:val="auto"/>
              </w:rPr>
            </w:pPr>
            <w:r>
              <w:rPr>
                <w:rFonts w:ascii="Arial" w:cs="Arial" w:eastAsia="Arial" w:hAnsi="Arial"/>
                <w:sz w:val="18"/>
                <w:szCs w:val="18"/>
                <w:color w:val="auto"/>
              </w:rPr>
              <w:t>Non-Cash Lease Expense</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(2,065)</w:t>
            </w: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838</w:t>
            </w:r>
          </w:p>
        </w:tc>
      </w:tr>
      <w:tr>
        <w:trPr>
          <w:trHeight w:val="230"/>
        </w:trPr>
        <w:tc>
          <w:tcPr>
            <w:tcW w:w="76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Other Changes, Net</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(4,397)</w:t>
            </w: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(5,785)</w:t>
            </w:r>
          </w:p>
        </w:tc>
      </w:tr>
      <w:tr>
        <w:trPr>
          <w:trHeight w:val="229"/>
        </w:trPr>
        <w:tc>
          <w:tcPr>
            <w:tcW w:w="7620" w:type="dxa"/>
            <w:vAlign w:val="bottom"/>
          </w:tcPr>
          <w:p>
            <w:pPr>
              <w:ind w:left="240"/>
              <w:spacing w:after="0"/>
              <w:rPr>
                <w:sz w:val="20"/>
                <w:szCs w:val="20"/>
                <w:color w:val="auto"/>
              </w:rPr>
            </w:pPr>
            <w:r>
              <w:rPr>
                <w:rFonts w:ascii="Arial" w:cs="Arial" w:eastAsia="Arial" w:hAnsi="Arial"/>
                <w:sz w:val="18"/>
                <w:szCs w:val="18"/>
                <w:color w:val="auto"/>
              </w:rPr>
              <w:t>Changes in Operating Assets and Liabilities:</w:t>
            </w: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76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Additions to Lease Merchandise</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(1,195,051)</w:t>
            </w: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(1,369,388)</w:t>
            </w:r>
          </w:p>
        </w:tc>
      </w:tr>
      <w:tr>
        <w:trPr>
          <w:trHeight w:val="230"/>
        </w:trPr>
        <w:tc>
          <w:tcPr>
            <w:tcW w:w="7620" w:type="dxa"/>
            <w:vAlign w:val="bottom"/>
          </w:tcPr>
          <w:p>
            <w:pPr>
              <w:ind w:left="460"/>
              <w:spacing w:after="0"/>
              <w:rPr>
                <w:sz w:val="20"/>
                <w:szCs w:val="20"/>
                <w:color w:val="auto"/>
              </w:rPr>
            </w:pPr>
            <w:r>
              <w:rPr>
                <w:rFonts w:ascii="Arial" w:cs="Arial" w:eastAsia="Arial" w:hAnsi="Arial"/>
                <w:sz w:val="18"/>
                <w:szCs w:val="18"/>
                <w:color w:val="auto"/>
              </w:rPr>
              <w:t>Book Value of Lease Merchandise Sold or Disposed</w:t>
            </w:r>
          </w:p>
        </w:tc>
        <w:tc>
          <w:tcPr>
            <w:tcW w:w="420" w:type="dxa"/>
            <w:vAlign w:val="bottom"/>
          </w:tcPr>
          <w:p>
            <w:pPr>
              <w:spacing w:after="0"/>
              <w:rPr>
                <w:sz w:val="19"/>
                <w:szCs w:val="19"/>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119,711</w:t>
            </w: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158,582</w:t>
            </w:r>
          </w:p>
        </w:tc>
      </w:tr>
      <w:tr>
        <w:trPr>
          <w:trHeight w:val="229"/>
        </w:trPr>
        <w:tc>
          <w:tcPr>
            <w:tcW w:w="76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Accounts Receivable</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(216,469)</w:t>
            </w: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(280,096)</w:t>
            </w:r>
          </w:p>
        </w:tc>
      </w:tr>
      <w:tr>
        <w:trPr>
          <w:trHeight w:val="230"/>
        </w:trPr>
        <w:tc>
          <w:tcPr>
            <w:tcW w:w="7620" w:type="dxa"/>
            <w:vAlign w:val="bottom"/>
          </w:tcPr>
          <w:p>
            <w:pPr>
              <w:ind w:left="460"/>
              <w:spacing w:after="0"/>
              <w:rPr>
                <w:sz w:val="20"/>
                <w:szCs w:val="20"/>
                <w:color w:val="auto"/>
              </w:rPr>
            </w:pPr>
            <w:r>
              <w:rPr>
                <w:rFonts w:ascii="Arial" w:cs="Arial" w:eastAsia="Arial" w:hAnsi="Arial"/>
                <w:sz w:val="18"/>
                <w:szCs w:val="18"/>
                <w:color w:val="auto"/>
              </w:rPr>
              <w:t>Prepaid Expenses and Other Assets</w:t>
            </w:r>
          </w:p>
        </w:tc>
        <w:tc>
          <w:tcPr>
            <w:tcW w:w="420" w:type="dxa"/>
            <w:vAlign w:val="bottom"/>
          </w:tcPr>
          <w:p>
            <w:pPr>
              <w:spacing w:after="0"/>
              <w:rPr>
                <w:sz w:val="19"/>
                <w:szCs w:val="19"/>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2,304</w:t>
            </w: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(1,077)</w:t>
            </w:r>
          </w:p>
        </w:tc>
      </w:tr>
      <w:tr>
        <w:trPr>
          <w:trHeight w:val="230"/>
        </w:trPr>
        <w:tc>
          <w:tcPr>
            <w:tcW w:w="76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Income Tax Receivable and Payable</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3,411</w:t>
            </w:r>
          </w:p>
        </w:tc>
      </w:tr>
      <w:tr>
        <w:trPr>
          <w:trHeight w:val="229"/>
        </w:trPr>
        <w:tc>
          <w:tcPr>
            <w:tcW w:w="7620" w:type="dxa"/>
            <w:vAlign w:val="bottom"/>
          </w:tcPr>
          <w:p>
            <w:pPr>
              <w:ind w:left="460"/>
              <w:spacing w:after="0"/>
              <w:rPr>
                <w:sz w:val="20"/>
                <w:szCs w:val="20"/>
                <w:color w:val="auto"/>
              </w:rPr>
            </w:pPr>
            <w:r>
              <w:rPr>
                <w:rFonts w:ascii="Arial" w:cs="Arial" w:eastAsia="Arial" w:hAnsi="Arial"/>
                <w:sz w:val="18"/>
                <w:szCs w:val="18"/>
                <w:color w:val="auto"/>
              </w:rPr>
              <w:t>Operating Lease Right-of-Use Assets and Liabilities</w:t>
            </w:r>
          </w:p>
        </w:tc>
        <w:tc>
          <w:tcPr>
            <w:tcW w:w="420" w:type="dxa"/>
            <w:vAlign w:val="bottom"/>
          </w:tcPr>
          <w:p>
            <w:pPr>
              <w:spacing w:after="0"/>
              <w:rPr>
                <w:sz w:val="19"/>
                <w:szCs w:val="19"/>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1,133</w:t>
            </w:r>
          </w:p>
        </w:tc>
      </w:tr>
      <w:tr>
        <w:trPr>
          <w:trHeight w:val="230"/>
        </w:trPr>
        <w:tc>
          <w:tcPr>
            <w:tcW w:w="76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Accounts Payable and Accrued Expenses</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8,735</w:t>
            </w: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3,220</w:t>
            </w:r>
          </w:p>
        </w:tc>
      </w:tr>
      <w:tr>
        <w:trPr>
          <w:trHeight w:val="230"/>
        </w:trPr>
        <w:tc>
          <w:tcPr>
            <w:tcW w:w="762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Customer Deposits and Advance Payments</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(6,463)</w:t>
            </w:r>
          </w:p>
        </w:tc>
        <w:tc>
          <w:tcPr>
            <w:tcW w:w="6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(11,118)</w:t>
            </w:r>
          </w:p>
        </w:tc>
      </w:tr>
      <w:tr>
        <w:trPr>
          <w:trHeight w:val="223"/>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 Operating Activities</w:t>
            </w: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292,541</w:t>
            </w:r>
          </w:p>
        </w:tc>
        <w:tc>
          <w:tcPr>
            <w:tcW w:w="6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283,150</w:t>
            </w:r>
          </w:p>
        </w:tc>
      </w:tr>
      <w:tr>
        <w:trPr>
          <w:trHeight w:val="210"/>
        </w:trPr>
        <w:tc>
          <w:tcPr>
            <w:tcW w:w="762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7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Investments in Loans Receivable</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(138,922)</w:t>
            </w: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(147,711)</w:t>
            </w:r>
          </w:p>
        </w:tc>
      </w:tr>
      <w:tr>
        <w:trPr>
          <w:trHeight w:val="229"/>
        </w:trPr>
        <w:tc>
          <w:tcPr>
            <w:tcW w:w="7620" w:type="dxa"/>
            <w:vAlign w:val="bottom"/>
          </w:tcPr>
          <w:p>
            <w:pPr>
              <w:ind w:left="240"/>
              <w:spacing w:after="0"/>
              <w:rPr>
                <w:sz w:val="20"/>
                <w:szCs w:val="20"/>
                <w:color w:val="auto"/>
              </w:rPr>
            </w:pPr>
            <w:r>
              <w:rPr>
                <w:rFonts w:ascii="Arial" w:cs="Arial" w:eastAsia="Arial" w:hAnsi="Arial"/>
                <w:sz w:val="18"/>
                <w:szCs w:val="18"/>
                <w:color w:val="auto"/>
              </w:rPr>
              <w:t>Proceeds from Loans Receivable</w:t>
            </w:r>
          </w:p>
        </w:tc>
        <w:tc>
          <w:tcPr>
            <w:tcW w:w="420" w:type="dxa"/>
            <w:vAlign w:val="bottom"/>
          </w:tcPr>
          <w:p>
            <w:pPr>
              <w:spacing w:after="0"/>
              <w:rPr>
                <w:sz w:val="19"/>
                <w:szCs w:val="19"/>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127,079</w:t>
            </w: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115,226</w:t>
            </w:r>
          </w:p>
        </w:tc>
      </w:tr>
      <w:tr>
        <w:trPr>
          <w:trHeight w:val="230"/>
        </w:trPr>
        <w:tc>
          <w:tcPr>
            <w:tcW w:w="7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Outflows on Purchases of Property and Equipment</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(6,952)</w:t>
            </w: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(7,488)</w:t>
            </w:r>
          </w:p>
        </w:tc>
      </w:tr>
      <w:tr>
        <w:trPr>
          <w:trHeight w:val="230"/>
        </w:trPr>
        <w:tc>
          <w:tcPr>
            <w:tcW w:w="7620" w:type="dxa"/>
            <w:vAlign w:val="bottom"/>
          </w:tcPr>
          <w:p>
            <w:pPr>
              <w:ind w:left="240"/>
              <w:spacing w:after="0"/>
              <w:rPr>
                <w:sz w:val="20"/>
                <w:szCs w:val="20"/>
                <w:color w:val="auto"/>
              </w:rPr>
            </w:pPr>
            <w:r>
              <w:rPr>
                <w:rFonts w:ascii="Arial" w:cs="Arial" w:eastAsia="Arial" w:hAnsi="Arial"/>
                <w:sz w:val="18"/>
                <w:szCs w:val="18"/>
                <w:color w:val="auto"/>
              </w:rPr>
              <w:t>Proceeds from Property and Equipment</w:t>
            </w:r>
          </w:p>
        </w:tc>
        <w:tc>
          <w:tcPr>
            <w:tcW w:w="420" w:type="dxa"/>
            <w:vAlign w:val="bottom"/>
          </w:tcPr>
          <w:p>
            <w:pPr>
              <w:spacing w:after="0"/>
              <w:rPr>
                <w:sz w:val="19"/>
                <w:szCs w:val="19"/>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30</w:t>
            </w: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7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Proceeds from Acquisitions of Businesses</w:t>
            </w: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Used in Investing Activities</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(18,765)</w:t>
            </w:r>
          </w:p>
        </w:tc>
        <w:tc>
          <w:tcPr>
            <w:tcW w:w="6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(39,949)</w:t>
            </w:r>
          </w:p>
        </w:tc>
      </w:tr>
      <w:tr>
        <w:trPr>
          <w:trHeight w:val="209"/>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0"/>
        </w:trPr>
        <w:tc>
          <w:tcPr>
            <w:tcW w:w="7620" w:type="dxa"/>
            <w:vAlign w:val="bottom"/>
          </w:tcPr>
          <w:p>
            <w:pPr>
              <w:ind w:left="240"/>
              <w:spacing w:after="0"/>
              <w:rPr>
                <w:sz w:val="20"/>
                <w:szCs w:val="20"/>
                <w:color w:val="auto"/>
              </w:rPr>
            </w:pPr>
            <w:r>
              <w:rPr>
                <w:rFonts w:ascii="Arial" w:cs="Arial" w:eastAsia="Arial" w:hAnsi="Arial"/>
                <w:sz w:val="18"/>
                <w:szCs w:val="18"/>
                <w:color w:val="auto"/>
              </w:rPr>
              <w:t>Acquisition of Treasury Stock</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(108,276)</w:t>
            </w: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(187,361)</w:t>
            </w:r>
          </w:p>
        </w:tc>
      </w:tr>
      <w:tr>
        <w:trPr>
          <w:trHeight w:val="230"/>
        </w:trPr>
        <w:tc>
          <w:tcPr>
            <w:tcW w:w="7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Tender Offer Shares Repurchased and Retired</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r>
      <w:tr>
        <w:trPr>
          <w:trHeight w:val="230"/>
        </w:trPr>
        <w:tc>
          <w:tcPr>
            <w:tcW w:w="7620" w:type="dxa"/>
            <w:vAlign w:val="bottom"/>
          </w:tcPr>
          <w:p>
            <w:pPr>
              <w:ind w:left="240"/>
              <w:spacing w:after="0"/>
              <w:rPr>
                <w:sz w:val="20"/>
                <w:szCs w:val="20"/>
                <w:color w:val="auto"/>
              </w:rPr>
            </w:pPr>
            <w:r>
              <w:rPr>
                <w:rFonts w:ascii="Arial" w:cs="Arial" w:eastAsia="Arial" w:hAnsi="Arial"/>
                <w:sz w:val="18"/>
                <w:szCs w:val="18"/>
                <w:color w:val="auto"/>
              </w:rPr>
              <w:t>Issuance of Stock Under Stock Option Plans</w:t>
            </w:r>
          </w:p>
        </w:tc>
        <w:tc>
          <w:tcPr>
            <w:tcW w:w="420" w:type="dxa"/>
            <w:vAlign w:val="bottom"/>
          </w:tcPr>
          <w:p>
            <w:pPr>
              <w:spacing w:after="0"/>
              <w:rPr>
                <w:sz w:val="19"/>
                <w:szCs w:val="19"/>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695</w:t>
            </w: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663</w:t>
            </w:r>
          </w:p>
        </w:tc>
      </w:tr>
      <w:tr>
        <w:trPr>
          <w:trHeight w:val="230"/>
        </w:trPr>
        <w:tc>
          <w:tcPr>
            <w:tcW w:w="7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Shares Withheld for Tax Payments</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(3,260)</w:t>
            </w: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(2,902)</w:t>
            </w:r>
          </w:p>
        </w:tc>
      </w:tr>
      <w:tr>
        <w:trPr>
          <w:trHeight w:val="229"/>
        </w:trPr>
        <w:tc>
          <w:tcPr>
            <w:tcW w:w="76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Debt Issuance Costs</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6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(1,600)</w:t>
            </w:r>
          </w:p>
        </w:tc>
      </w:tr>
      <w:tr>
        <w:trPr>
          <w:trHeight w:val="223"/>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Used in Financing Activities</w:t>
            </w: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(110,870)</w:t>
            </w:r>
          </w:p>
        </w:tc>
        <w:tc>
          <w:tcPr>
            <w:tcW w:w="6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(191,474)</w:t>
            </w:r>
          </w:p>
        </w:tc>
      </w:tr>
      <w:tr>
        <w:trPr>
          <w:trHeight w:val="223"/>
        </w:trPr>
        <w:tc>
          <w:tcPr>
            <w:tcW w:w="7620" w:type="dxa"/>
            <w:vAlign w:val="bottom"/>
          </w:tcPr>
          <w:p>
            <w:pPr>
              <w:ind w:left="240"/>
              <w:spacing w:after="0"/>
              <w:rPr>
                <w:sz w:val="20"/>
                <w:szCs w:val="20"/>
                <w:color w:val="auto"/>
              </w:rPr>
            </w:pPr>
            <w:r>
              <w:rPr>
                <w:rFonts w:ascii="Arial" w:cs="Arial" w:eastAsia="Arial" w:hAnsi="Arial"/>
                <w:sz w:val="18"/>
                <w:szCs w:val="18"/>
                <w:color w:val="auto"/>
              </w:rPr>
              <w:t>Increase in Cash and Cash Equivalents</w:t>
            </w:r>
          </w:p>
        </w:tc>
        <w:tc>
          <w:tcPr>
            <w:tcW w:w="420" w:type="dxa"/>
            <w:vAlign w:val="bottom"/>
          </w:tcPr>
          <w:p>
            <w:pPr>
              <w:spacing w:after="0"/>
              <w:rPr>
                <w:sz w:val="19"/>
                <w:szCs w:val="19"/>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162,906</w:t>
            </w: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51,727</w:t>
            </w:r>
          </w:p>
        </w:tc>
      </w:tr>
      <w:tr>
        <w:trPr>
          <w:trHeight w:val="229"/>
        </w:trPr>
        <w:tc>
          <w:tcPr>
            <w:tcW w:w="7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and Cash Equivalents at Beginning of Period</w:t>
            </w: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131,880</w:t>
            </w:r>
          </w:p>
        </w:tc>
        <w:tc>
          <w:tcPr>
            <w:tcW w:w="6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170,159</w:t>
            </w:r>
          </w:p>
        </w:tc>
      </w:tr>
      <w:tr>
        <w:trPr>
          <w:trHeight w:val="223"/>
        </w:trPr>
        <w:tc>
          <w:tcPr>
            <w:tcW w:w="7620" w:type="dxa"/>
            <w:vAlign w:val="bottom"/>
          </w:tcPr>
          <w:p>
            <w:pPr>
              <w:ind w:left="240"/>
              <w:spacing w:after="0"/>
              <w:rPr>
                <w:sz w:val="20"/>
                <w:szCs w:val="20"/>
                <w:color w:val="auto"/>
              </w:rPr>
            </w:pPr>
            <w:r>
              <w:rPr>
                <w:rFonts w:ascii="Arial" w:cs="Arial" w:eastAsia="Arial" w:hAnsi="Arial"/>
                <w:sz w:val="18"/>
                <w:szCs w:val="18"/>
                <w:color w:val="auto"/>
              </w:rPr>
              <w:t>Cash and Cash Equivalents at End of Period</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294,786</w:t>
            </w:r>
          </w:p>
        </w:tc>
        <w:tc>
          <w:tcPr>
            <w:tcW w:w="6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221,886</w:t>
            </w:r>
          </w:p>
        </w:tc>
      </w:tr>
      <w:tr>
        <w:trPr>
          <w:trHeight w:val="20"/>
        </w:trPr>
        <w:tc>
          <w:tcPr>
            <w:tcW w:w="76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96"/>
        </w:trPr>
        <w:tc>
          <w:tcPr>
            <w:tcW w:w="7620" w:type="dxa"/>
            <w:vAlign w:val="bottom"/>
            <w:shd w:val="clear" w:color="auto" w:fill="CCEEFF"/>
          </w:tcPr>
          <w:p>
            <w:pPr>
              <w:ind w:left="240"/>
              <w:spacing w:after="0" w:line="196" w:lineRule="exact"/>
              <w:rPr>
                <w:sz w:val="20"/>
                <w:szCs w:val="20"/>
                <w:color w:val="auto"/>
              </w:rPr>
            </w:pPr>
            <w:r>
              <w:rPr>
                <w:rFonts w:ascii="Arial" w:cs="Arial" w:eastAsia="Arial" w:hAnsi="Arial"/>
                <w:sz w:val="18"/>
                <w:szCs w:val="18"/>
                <w:color w:val="auto"/>
              </w:rPr>
              <w:t>Net Cash Paid During the Period:</w:t>
            </w:r>
          </w:p>
        </w:tc>
        <w:tc>
          <w:tcPr>
            <w:tcW w:w="4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30"/>
        </w:trPr>
        <w:tc>
          <w:tcPr>
            <w:tcW w:w="7620" w:type="dxa"/>
            <w:vAlign w:val="bottom"/>
          </w:tcPr>
          <w:p>
            <w:pPr>
              <w:ind w:left="680"/>
              <w:spacing w:after="0"/>
              <w:rPr>
                <w:sz w:val="20"/>
                <w:szCs w:val="20"/>
                <w:color w:val="auto"/>
              </w:rPr>
            </w:pPr>
            <w:r>
              <w:rPr>
                <w:rFonts w:ascii="Arial" w:cs="Arial" w:eastAsia="Arial" w:hAnsi="Arial"/>
                <w:sz w:val="18"/>
                <w:szCs w:val="18"/>
                <w:color w:val="auto"/>
              </w:rPr>
              <w:t>Interest</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18,768</w:t>
            </w:r>
          </w:p>
        </w:tc>
        <w:tc>
          <w:tcPr>
            <w:tcW w:w="6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17,306</w:t>
            </w:r>
          </w:p>
        </w:tc>
      </w:tr>
      <w:tr>
        <w:trPr>
          <w:trHeight w:val="229"/>
        </w:trPr>
        <w:tc>
          <w:tcPr>
            <w:tcW w:w="76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Income Taxes</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76,817</w:t>
            </w:r>
          </w:p>
        </w:tc>
        <w:tc>
          <w:tcPr>
            <w:tcW w:w="6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31,087</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Condensed Consolidated Financial Statements</w:t>
      </w:r>
      <w:r>
        <w:rPr>
          <w:rFonts w:ascii="Arial" w:cs="Arial" w:eastAsia="Arial" w:hAnsi="Arial"/>
          <w:sz w:val="18"/>
          <w:szCs w:val="18"/>
          <w:color w:val="auto"/>
        </w:rPr>
        <w:t>.</w:t>
      </w:r>
    </w:p>
    <w:p>
      <w:pPr>
        <w:sectPr>
          <w:pgSz w:w="11900" w:h="16838" w:orient="portrait"/>
          <w:cols w:equalWidth="0" w:num="1">
            <w:col w:w="11200"/>
          </w:cols>
          <w:pgMar w:left="340" w:top="143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107315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31" w:right="359" w:bottom="1440" w:gutter="0" w:footer="0" w:header="0"/>
          <w:type w:val="continuous"/>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4780"/>
        <w:spacing w:after="0" w:line="393" w:lineRule="auto"/>
        <w:rPr>
          <w:sz w:val="20"/>
          <w:szCs w:val="20"/>
          <w:color w:val="auto"/>
        </w:rPr>
      </w:pPr>
      <w:r>
        <w:rPr>
          <w:rFonts w:ascii="Arial" w:cs="Arial" w:eastAsia="Arial" w:hAnsi="Arial"/>
          <w:sz w:val="18"/>
          <w:szCs w:val="18"/>
          <w:b w:val="1"/>
          <w:bCs w:val="1"/>
          <w:color w:val="auto"/>
        </w:rPr>
        <w:t xml:space="preserve">NOTE 1. BASIS AND SUMMARY OF SIGNIFICANT ACCOUNTING POLICIES </w:t>
      </w:r>
      <w:r>
        <w:rPr>
          <w:rFonts w:ascii="Arial" w:cs="Arial" w:eastAsia="Arial" w:hAnsi="Arial"/>
          <w:sz w:val="18"/>
          <w:szCs w:val="18"/>
          <w:b w:val="1"/>
          <w:bCs w:val="1"/>
          <w:i w:val="1"/>
          <w:iCs w:val="1"/>
          <w:color w:val="auto"/>
        </w:rPr>
        <w:t>Description of Business</w:t>
      </w:r>
    </w:p>
    <w:p>
      <w:pPr>
        <w:spacing w:after="0" w:line="1"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PROG Holdings, Inc. ("we," "our," "us," the "Company," or "PROG Holdings") is a financial technology holding company that provides transparent and competitive payment options to consumers. PROG Holdings has two reportable segments: (i) Progressive Leasing, an in-store, app-based, and e-commerce point-of-sale lease-to-own solutions provider; and (ii) Vive Financial ("Vive"), an omnichannel provider of second-look revolving credit products.</w:t>
      </w:r>
    </w:p>
    <w:p>
      <w:pPr>
        <w:spacing w:after="0" w:line="27"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Our Progressive Leasing segment provides consumers with lease-purchase solutions through its point-of-sale partner locations and e-commerce website partners in the United States and Puerto Rico (collectively, "POS partners"). It does so by purchasing merchandise from the POS partners desired by customers and, in turn, leasing that merchandise to the customers through a cancellable lease-to-own transaction. Progressive Leasing has no stores of its own, but rather offers lease-purchase solutions to the customers of traditional and e-commerce retailers.</w:t>
      </w:r>
    </w:p>
    <w:p>
      <w:pPr>
        <w:spacing w:after="0" w:line="5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Vive segment primarily serves customers that may not qualify for traditional prime lending offers who desire to purchase goods and services from participating merchants. Vive offers customized programs, with services that include revolving loans through private label and Vive-branded credit cards. Vive's current network of POS partner locations and e-commerce websites includes furniture, mattresses, home exercise equipment, and home improvement retailers, as well as medical and dental service providers.</w:t>
      </w:r>
    </w:p>
    <w:p>
      <w:pPr>
        <w:spacing w:after="0" w:line="52"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PROG Holdings’ ecosystem of financial technology offerings also includes Four Technologies, Inc. ("Four"), an innovative Buy Now, Pay Later ("BNPL") company that allows shoppers to pay for merchandise through four interest-free installments. Shoppers use Four to purchase furniture, clothing, electronics, health and beauty products, footwear, jewelry, and other consumer goods from retailers across the United States. Four is not a reportable segment for the three and nine month periods ended September 30, 2023 as its financial results are not material to the Company's condensed consolidated financial results.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0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preparation of the Company's condensed consolidated financial statements in conformity with accounting principles generally accepted in the United States ("U.S. GAAP") for interim financial information requires management to make estimates and assumptions that affect the amounts reported in these condensed consolidated financial statements and accompanying notes. Actual results could differ from those estimates. Management does not believe these estimates or assumptions will change significantly in the future absent unidentified and unforeseen events, such as the possible direct or indirect impacts associated with the rate of inflation, increasing unemployment rates, the resumption of student loan repayments, and/or a prolonged recession in the United States.</w:t>
      </w:r>
    </w:p>
    <w:p>
      <w:pPr>
        <w:spacing w:after="0" w:line="7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accompanying unaudited condensed consolidated financial statements do not include all information required by U.S. GAAP for complete financial statements. In the opinion of management, all adjustments, which are of a normal recurring nature, considered necessary for a fair presentation have been included in the accompanying unaudited condensed consolidated financial statements. These condensed consolidated financial statements should be read in conjunction with the financial statements and notes thereto included in the Company's Annual Report on Form 10-K for the year ended December 31, 2022 (the "2022 Annual Report") filed with the United States Securities and Exchange Commission on February 22, 2023. The results of operations for the three and nine months ended September 30, 2023 are not necessarily indicative of operating results for the full year.</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The condensed consolidated financial statements include the accounts of PROG Holdings, Inc. and its subsidiaries, each of which is wholly-owned.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Intercompany balances and transactions between consolidated entities have been eliminated.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Policies and Estimates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See Note 1 to the consolidated financial statements in the 2022 Annual Report for an expanded discussion of accounting policies and estimates.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04"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Earnings per share is computed by dividing net earnings by the weighted average number of shares of common stock outstanding during the period. The computation of earnings per share assuming dilution includes the dilutive effect of stock options, restricted stock units ("RSUs"), restricted stock awards ("RSAs"), performance share units ("PSUs") and awards issuable under the Company's employee stock purchase plan ("ESPP") (collectively, "share-based awards") as determined under the treasury stock method. The following table shows the calculation of dilutive share-based awards: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3180" w:type="dxa"/>
            <w:vAlign w:val="bottom"/>
            <w:gridSpan w:val="2"/>
          </w:tcPr>
          <w:p>
            <w:pPr>
              <w:jc w:val="right"/>
              <w:ind w:right="515"/>
              <w:spacing w:after="0"/>
              <w:rPr>
                <w:sz w:val="20"/>
                <w:szCs w:val="20"/>
                <w:color w:val="auto"/>
              </w:rPr>
            </w:pPr>
            <w:r>
              <w:rPr>
                <w:rFonts w:ascii="Arial" w:cs="Arial" w:eastAsia="Arial" w:hAnsi="Arial"/>
                <w:sz w:val="14"/>
                <w:szCs w:val="14"/>
                <w:b w:val="1"/>
                <w:bCs w:val="1"/>
                <w:color w:val="auto"/>
              </w:rPr>
              <w:t>Three Months Ended September 30,</w:t>
            </w:r>
          </w:p>
        </w:tc>
        <w:tc>
          <w:tcPr>
            <w:tcW w:w="2860" w:type="dxa"/>
            <w:vAlign w:val="bottom"/>
            <w:gridSpan w:val="2"/>
          </w:tcPr>
          <w:p>
            <w:pPr>
              <w:jc w:val="right"/>
              <w:ind w:right="335"/>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
        </w:trPr>
        <w:tc>
          <w:tcPr>
            <w:tcW w:w="5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(Shares In Thousands)</w:t>
            </w:r>
          </w:p>
        </w:tc>
        <w:tc>
          <w:tcPr>
            <w:tcW w:w="17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200" w:type="dxa"/>
            <w:vAlign w:val="bottom"/>
            <w:tcBorders>
              <w:bottom w:val="single" w:sz="8" w:color="auto"/>
            </w:tcBorders>
            <w:vMerge w:val="continue"/>
          </w:tcPr>
          <w:p>
            <w:pPr>
              <w:spacing w:after="0"/>
              <w:rPr>
                <w:sz w:val="16"/>
                <w:szCs w:val="16"/>
                <w:color w:val="auto"/>
              </w:rPr>
            </w:pPr>
          </w:p>
        </w:tc>
        <w:tc>
          <w:tcPr>
            <w:tcW w:w="1720" w:type="dxa"/>
            <w:vAlign w:val="bottom"/>
            <w:tcBorders>
              <w:bottom w:val="single" w:sz="8" w:color="auto"/>
            </w:tcBorders>
          </w:tcPr>
          <w:p>
            <w:pPr>
              <w:jc w:val="right"/>
              <w:ind w:right="777"/>
              <w:spacing w:after="0"/>
              <w:rPr>
                <w:sz w:val="20"/>
                <w:szCs w:val="20"/>
                <w:color w:val="auto"/>
              </w:rPr>
            </w:pPr>
            <w:r>
              <w:rPr>
                <w:rFonts w:ascii="Arial" w:cs="Arial" w:eastAsia="Arial" w:hAnsi="Arial"/>
                <w:sz w:val="14"/>
                <w:szCs w:val="14"/>
                <w:b w:val="1"/>
                <w:bCs w:val="1"/>
                <w:color w:val="auto"/>
              </w:rPr>
              <w:t>2023</w:t>
            </w:r>
          </w:p>
        </w:tc>
        <w:tc>
          <w:tcPr>
            <w:tcW w:w="1460" w:type="dxa"/>
            <w:vAlign w:val="bottom"/>
            <w:tcBorders>
              <w:bottom w:val="single" w:sz="8" w:color="auto"/>
            </w:tcBorders>
          </w:tcPr>
          <w:p>
            <w:pPr>
              <w:jc w:val="right"/>
              <w:ind w:right="715"/>
              <w:spacing w:after="0"/>
              <w:rPr>
                <w:sz w:val="20"/>
                <w:szCs w:val="20"/>
                <w:color w:val="auto"/>
              </w:rPr>
            </w:pPr>
            <w:r>
              <w:rPr>
                <w:rFonts w:ascii="Arial" w:cs="Arial" w:eastAsia="Arial" w:hAnsi="Arial"/>
                <w:sz w:val="14"/>
                <w:szCs w:val="14"/>
                <w:b w:val="1"/>
                <w:bCs w:val="1"/>
                <w:color w:val="auto"/>
              </w:rPr>
              <w:t>2022</w:t>
            </w:r>
          </w:p>
        </w:tc>
        <w:tc>
          <w:tcPr>
            <w:tcW w:w="1620" w:type="dxa"/>
            <w:vAlign w:val="bottom"/>
            <w:tcBorders>
              <w:bottom w:val="single" w:sz="8" w:color="auto"/>
            </w:tcBorders>
          </w:tcPr>
          <w:p>
            <w:pPr>
              <w:jc w:val="right"/>
              <w:ind w:right="797"/>
              <w:spacing w:after="0"/>
              <w:rPr>
                <w:sz w:val="20"/>
                <w:szCs w:val="20"/>
                <w:color w:val="auto"/>
              </w:rPr>
            </w:pPr>
            <w:r>
              <w:rPr>
                <w:rFonts w:ascii="Arial" w:cs="Arial" w:eastAsia="Arial" w:hAnsi="Arial"/>
                <w:sz w:val="14"/>
                <w:szCs w:val="14"/>
                <w:b w:val="1"/>
                <w:bCs w:val="1"/>
                <w:color w:val="auto"/>
              </w:rPr>
              <w:t>2023</w:t>
            </w:r>
          </w:p>
        </w:tc>
        <w:tc>
          <w:tcPr>
            <w:tcW w:w="12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w:t>
            </w:r>
          </w:p>
        </w:tc>
        <w:tc>
          <w:tcPr>
            <w:tcW w:w="1720" w:type="dxa"/>
            <w:vAlign w:val="bottom"/>
            <w:shd w:val="clear" w:color="auto" w:fill="CCEEFF"/>
          </w:tcPr>
          <w:p>
            <w:pPr>
              <w:jc w:val="right"/>
              <w:ind w:right="277"/>
              <w:spacing w:after="0"/>
              <w:rPr>
                <w:sz w:val="20"/>
                <w:szCs w:val="20"/>
                <w:color w:val="auto"/>
              </w:rPr>
            </w:pPr>
            <w:r>
              <w:rPr>
                <w:rFonts w:ascii="Arial" w:cs="Arial" w:eastAsia="Arial" w:hAnsi="Arial"/>
                <w:sz w:val="18"/>
                <w:szCs w:val="18"/>
                <w:color w:val="auto"/>
              </w:rPr>
              <w:t>45,515</w:t>
            </w:r>
          </w:p>
        </w:tc>
        <w:tc>
          <w:tcPr>
            <w:tcW w:w="146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50,461</w:t>
            </w:r>
          </w:p>
        </w:tc>
        <w:tc>
          <w:tcPr>
            <w:tcW w:w="1620" w:type="dxa"/>
            <w:vAlign w:val="bottom"/>
            <w:shd w:val="clear" w:color="auto" w:fill="CCEEFF"/>
          </w:tcPr>
          <w:p>
            <w:pPr>
              <w:jc w:val="right"/>
              <w:ind w:right="297"/>
              <w:spacing w:after="0"/>
              <w:rPr>
                <w:sz w:val="20"/>
                <w:szCs w:val="20"/>
                <w:color w:val="auto"/>
              </w:rPr>
            </w:pPr>
            <w:r>
              <w:rPr>
                <w:rFonts w:ascii="Arial" w:cs="Arial" w:eastAsia="Arial" w:hAnsi="Arial"/>
                <w:sz w:val="18"/>
                <w:szCs w:val="18"/>
                <w:color w:val="auto"/>
              </w:rPr>
              <w:t>46,606</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52,896</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Dilutive Effect of Share-Based Awards</w:t>
            </w:r>
          </w:p>
        </w:tc>
        <w:tc>
          <w:tcPr>
            <w:tcW w:w="1720" w:type="dxa"/>
            <w:vAlign w:val="bottom"/>
            <w:tcBorders>
              <w:bottom w:val="single" w:sz="8" w:color="auto"/>
            </w:tcBorders>
          </w:tcPr>
          <w:p>
            <w:pPr>
              <w:jc w:val="right"/>
              <w:ind w:right="277"/>
              <w:spacing w:after="0"/>
              <w:rPr>
                <w:sz w:val="20"/>
                <w:szCs w:val="20"/>
                <w:color w:val="auto"/>
              </w:rPr>
            </w:pPr>
            <w:r>
              <w:rPr>
                <w:rFonts w:ascii="Arial" w:cs="Arial" w:eastAsia="Arial" w:hAnsi="Arial"/>
                <w:sz w:val="18"/>
                <w:szCs w:val="18"/>
                <w:color w:val="auto"/>
              </w:rPr>
              <w:t>618</w:t>
            </w:r>
          </w:p>
        </w:tc>
        <w:tc>
          <w:tcPr>
            <w:tcW w:w="146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color w:val="auto"/>
              </w:rPr>
              <w:t>86</w:t>
            </w:r>
          </w:p>
        </w:tc>
        <w:tc>
          <w:tcPr>
            <w:tcW w:w="1620" w:type="dxa"/>
            <w:vAlign w:val="bottom"/>
            <w:tcBorders>
              <w:bottom w:val="single" w:sz="8" w:color="auto"/>
            </w:tcBorders>
          </w:tcPr>
          <w:p>
            <w:pPr>
              <w:jc w:val="right"/>
              <w:ind w:right="297"/>
              <w:spacing w:after="0"/>
              <w:rPr>
                <w:sz w:val="20"/>
                <w:szCs w:val="20"/>
                <w:color w:val="auto"/>
              </w:rPr>
            </w:pPr>
            <w:r>
              <w:rPr>
                <w:rFonts w:ascii="Arial" w:cs="Arial" w:eastAsia="Arial" w:hAnsi="Arial"/>
                <w:sz w:val="18"/>
                <w:szCs w:val="18"/>
                <w:color w:val="auto"/>
              </w:rPr>
              <w:t>442</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Assuming Dilution</w:t>
            </w:r>
          </w:p>
        </w:tc>
        <w:tc>
          <w:tcPr>
            <w:tcW w:w="1720" w:type="dxa"/>
            <w:vAlign w:val="bottom"/>
            <w:tcBorders>
              <w:bottom w:val="single" w:sz="8" w:color="auto"/>
            </w:tcBorders>
            <w:shd w:val="clear" w:color="auto" w:fill="CCEEFF"/>
          </w:tcPr>
          <w:p>
            <w:pPr>
              <w:jc w:val="right"/>
              <w:ind w:right="277"/>
              <w:spacing w:after="0"/>
              <w:rPr>
                <w:sz w:val="20"/>
                <w:szCs w:val="20"/>
                <w:color w:val="auto"/>
              </w:rPr>
            </w:pPr>
            <w:r>
              <w:rPr>
                <w:rFonts w:ascii="Arial" w:cs="Arial" w:eastAsia="Arial" w:hAnsi="Arial"/>
                <w:sz w:val="18"/>
                <w:szCs w:val="18"/>
                <w:color w:val="auto"/>
              </w:rPr>
              <w:t>46,133</w:t>
            </w:r>
          </w:p>
        </w:tc>
        <w:tc>
          <w:tcPr>
            <w:tcW w:w="146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8"/>
                <w:szCs w:val="18"/>
                <w:color w:val="auto"/>
              </w:rPr>
              <w:t>50,547</w:t>
            </w:r>
          </w:p>
        </w:tc>
        <w:tc>
          <w:tcPr>
            <w:tcW w:w="1620" w:type="dxa"/>
            <w:vAlign w:val="bottom"/>
            <w:tcBorders>
              <w:bottom w:val="single" w:sz="8" w:color="auto"/>
            </w:tcBorders>
            <w:shd w:val="clear" w:color="auto" w:fill="CCEEFF"/>
          </w:tcPr>
          <w:p>
            <w:pPr>
              <w:jc w:val="right"/>
              <w:ind w:right="297"/>
              <w:spacing w:after="0"/>
              <w:rPr>
                <w:sz w:val="20"/>
                <w:szCs w:val="20"/>
                <w:color w:val="auto"/>
              </w:rPr>
            </w:pPr>
            <w:r>
              <w:rPr>
                <w:rFonts w:ascii="Arial" w:cs="Arial" w:eastAsia="Arial" w:hAnsi="Arial"/>
                <w:sz w:val="18"/>
                <w:szCs w:val="18"/>
                <w:color w:val="auto"/>
              </w:rPr>
              <w:t>47,048</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53,053</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Approximately 614,000 and 880,000 weighted-average share-based awards were excluded from the computation of earnings per share assuming dilution during the three and nine months ended September 30, 2023, respectively, as the awards would have been anti-dilutive for the periods presented.</w:t>
      </w:r>
    </w:p>
    <w:p>
      <w:pPr>
        <w:spacing w:after="0" w:line="2"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Approximately 1,622,000 and 1,418,000 weighted-average share-based awards were excluded from the computation of earnings per share assuming dilution during the three and nine months ended September 30, 2022, respectively, as the awards would have been anti-dilutive for the periods presented.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Revenues and Fees</w:t>
      </w:r>
    </w:p>
    <w:p>
      <w:pPr>
        <w:spacing w:after="0" w:line="90"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Progressive Leasing provides merchandise, consisting primarily of furniture, appliances, electronics, jewelry, mobile phones and accessories, mattresses, automobile electronics and accessories, and a variety of other products, to its customers for lease under terms agreed to by the customer. Progressive Leasing offers customers of traditional and e-commerce retailers a lease-purchase solution through leases with payment terms that can generally be renewed up to 12 months. Progressive Leasing does not require deposits upon inception of customer agreements. The customer has the right to acquire ownership either through early buyout options or through payment of all required lease payments. The agreements are cancellable at any time by either party without penalty.</w:t>
      </w:r>
    </w:p>
    <w:p>
      <w:pPr>
        <w:spacing w:after="0" w:line="7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All of Progressive Leasing's customer agreements are considered operating leases. The Company maintains ownership of the lease merchandise until all payment obligations are satisfied under the lease ownership agreements. Initial lease payments made by the customer upon lease execution are recognized as deferred revenue and are amortized as lease revenue over the estimated lease term on a straight-line basis. Initial lease payments and other payments collected in advance of being due or earned are recognized as deferred revenue within customer deposits and advance payments in the accompanying condensed consolidated balance sheets. All other customer lease billings are earned prior to the lease payment due date and are recorded net of related sales taxes as earned. Payment due date terms include weekly, bi-weekly, semi-monthly and monthly frequencies. Revenue recorded prior to the payment due date results in unbilled receivables recognized in accounts receivable, net of allowances, in the accompanying condensed consolidated balance sheets. Lease revenues are recorded net of a provision for uncollectible renewal payments.</w:t>
      </w:r>
    </w:p>
    <w:p>
      <w:pPr>
        <w:spacing w:after="0" w:line="57"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Initial direct costs related to lease purchase agreements are capitalized as incurred and amortized as operating expense over the estimated lease term. The capitalized costs have been classified within prepaid expenses and other assets in the accompanying condensed consolidated balance sheets.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Fees on Loans Receivable</w:t>
      </w:r>
    </w:p>
    <w:p>
      <w:pPr>
        <w:spacing w:after="0" w:line="9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Interest and fees on loans receivable is primarily generated from our Vive segment. Vive extends or declines credit to an applicant through its bank partners based upon the applicant's credit rating and other factors. Qualifying applicants are approved for a specified maximum revolving credit card line to finance their initial purchase and to use in subsequent purchases at the merchant or other participating merchants for an initial 24-month period, which Vive may renew if the cardholder remains in good standing.</w:t>
      </w:r>
    </w:p>
    <w:p>
      <w:pPr>
        <w:spacing w:after="0" w:line="6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Vive acquires the loan receivable from its third-party bank partners at a discount from the face value of the loan. The discount is comprised of a merchant fee discount and a promotional fee discount, if applicable.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merchant fee discount represents a pre-negotiated, nonrefundable discount that generally ranges from 3% to 25% of the loan face value. The discount is designed to cover the risk of loss related to the portfolio of cardholder charges and Vive's direct origination costs. The merchant fee discount and origination costs are presented net in the condensed consolidated balance sheets in loans receivable. Cardholders generally have an initial 24-month period that the card is active. The merchant fee discount, net of the origination costs, is amortized on a net basis and is recorded as interest and fees on loans receivable in the condensed consolidated statements of earnings on a straight-line basis over the initial 24-month period. If the loan receivable is paid off or charged off during the 24-month period, the remaining net merchant fee discount is recognized as interest and fees on loans receivable at that time.</w:t>
      </w:r>
    </w:p>
    <w:p>
      <w:pPr>
        <w:spacing w:after="0" w:line="2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discount from the face value of the loan on the acquisition of the loan receivable from the merchant through the third-party bank partners may also include a promotional fee discount, which generally ranges from 1% to 8%. The promotional fee discount is intended to compensate the holder of the loan receivable (i.e., Vive) for deferred or reduced interest rates that are offered to the cardholder for a specified period on the outstanding loan balance (generally for six, 12 or 18 months). The promotional fee discount is amortized as interest and fees on loans receivable in the condensed consolidated statements of earnings on a straight-line basis over the promotional interest period (i.e., over six, 12 or 18 months, depending on the promotion). If the loan receivable is paid off or charged off prior to the expiration of the promotional period, the remaining promotional fee discount is recognized as interest and fees on loans receivable at that time. The unamortized promotional fee discount is presented net within loans receivable in the condensed consolidated balance sheets.</w:t>
      </w:r>
    </w:p>
    <w:p>
      <w:pPr>
        <w:spacing w:after="0" w:line="70"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customer is typically required to make monthly minimum payments of at least 3.5% of the outstanding loan balance, which includes outstanding interest. Fixed and variable interest rates, typically 27% to 35.99%, are compounded daily for cards that do not qualify for deferred or reduced interest promotional periods. Interest income, which is recognized based upon the amount of the loans outstanding, is recognized as interest and fees on loans receivable when earned if collectibility is reasonably assured. For credit cards that provide deferred interest, if the balance is not paid off during the promotional period or if the cardholder defaults, interest is billed to the customers at standard rates and the cumulative amount owed is charged to the cardholder account in the month that the promotional period expires. The Company recognizes interest revenue during the promotional period based on its historical experience related to cardholders that fail to pay off balances during the promotional period if collectibility is reasonably assured.</w:t>
      </w:r>
    </w:p>
    <w:p>
      <w:pPr>
        <w:spacing w:after="0" w:line="4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Annual fees are charged to cardholders at the commencement of the loan and on each subsequent anniversary date. Annual fees are deferred and recognized into revenue on a straight-line basis over a one-year period. Under the provisions of the credit card agreements, Vive also may assess fees for missed or late payments, which are recognized as revenue in the billing period in which they are assessed if collectibility is reasonably assured. Annual fees and other fees are recognized as interest and fees on loans receivable in the condensed consolidated statements of earnings.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9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Accounts receivable consist primarily of receivables due from customers of Progressive Leasing and amounted to $55.8 million and $64.5 million, net of allowances, as of September 30, 2023 and December 31, 2022, respectively.</w:t>
      </w:r>
    </w:p>
    <w:p>
      <w:pPr>
        <w:spacing w:after="0" w:line="4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Company maintains an accounts receivable allowance, which primarily relates to its Progressive Leasing operations and, to a lesser extent, receivables from Vive's POS partners. The Company’s policy is to record an allowance for uncollectible renewal payments based on historical collection experience. Other qualitative factors, such as current and forecasted business trends, are considered in estimating the allowance. Given the significant uncertainty regarding the impacts of inflation, higher interest rates, the resumption of student loan repayments, and/or unemployment rates on our business, a high level of estimation was involved in determining the allowance as of September 30, 2023. Therefore, actual future accounts receivable write-offs may differ materially from the allowance. If the significant increase in inflation that began during 2022 continues in future periods, or if the current level of inflation does not decrease, such developments may further adversely impact certain customers' ability to continue to make payments to the Company. The provision for uncollectible renewal payments is recorded as a reduction of lease revenues and fees within the condensed consolidated statements of earnings. For customer lease agreements that are past due, the Company's policy is to write off lease receivables after 120 days.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Vive's allowance for uncollectible merchant accounts receivable, which primarily relates to cardholder returns and refunds, and is an immaterial amount related to Vive's bad debt expense, is recorded within operating expenses in the condensed consolidated statements of earnings. See below for a discussion of Vive's loans receivable and related allowance for loan losses.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components of the accounts receivable allowance: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60" w:type="dxa"/>
            <w:vAlign w:val="bottom"/>
            <w:gridSpan w:val="3"/>
          </w:tcPr>
          <w:p>
            <w:pPr>
              <w:jc w:val="right"/>
              <w:ind w:right="513"/>
              <w:spacing w:after="0"/>
              <w:rPr>
                <w:sz w:val="20"/>
                <w:szCs w:val="20"/>
                <w:color w:val="auto"/>
              </w:rPr>
            </w:pPr>
            <w:r>
              <w:rPr>
                <w:rFonts w:ascii="Arial" w:cs="Arial" w:eastAsia="Arial" w:hAnsi="Arial"/>
                <w:sz w:val="14"/>
                <w:szCs w:val="14"/>
                <w:b w:val="1"/>
                <w:bCs w:val="1"/>
                <w:color w:val="auto"/>
              </w:rPr>
              <w:t>Three Months Ended September 30,</w:t>
            </w:r>
          </w:p>
        </w:tc>
        <w:tc>
          <w:tcPr>
            <w:tcW w:w="420" w:type="dxa"/>
            <w:vAlign w:val="bottom"/>
          </w:tcPr>
          <w:p>
            <w:pPr>
              <w:spacing w:after="0"/>
              <w:rPr>
                <w:sz w:val="16"/>
                <w:szCs w:val="16"/>
                <w:color w:val="auto"/>
              </w:rPr>
            </w:pPr>
          </w:p>
        </w:tc>
        <w:tc>
          <w:tcPr>
            <w:tcW w:w="3000" w:type="dxa"/>
            <w:vAlign w:val="bottom"/>
            <w:gridSpan w:val="3"/>
          </w:tcPr>
          <w:p>
            <w:pPr>
              <w:jc w:val="right"/>
              <w:ind w:right="513"/>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
        </w:trPr>
        <w:tc>
          <w:tcPr>
            <w:tcW w:w="44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42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65,544</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81,898</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69,264</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71,233</w:t>
            </w:r>
          </w:p>
        </w:tc>
        <w:tc>
          <w:tcPr>
            <w:tcW w:w="0" w:type="dxa"/>
            <w:vAlign w:val="bottom"/>
          </w:tcPr>
          <w:p>
            <w:pPr>
              <w:spacing w:after="0"/>
              <w:rPr>
                <w:sz w:val="1"/>
                <w:szCs w:val="1"/>
                <w:color w:val="auto"/>
              </w:rPr>
            </w:pPr>
          </w:p>
        </w:tc>
      </w:tr>
      <w:tr>
        <w:trPr>
          <w:trHeight w:val="230"/>
        </w:trPr>
        <w:tc>
          <w:tcPr>
            <w:tcW w:w="4420" w:type="dxa"/>
            <w:vAlign w:val="bottom"/>
          </w:tcPr>
          <w:p>
            <w:pPr>
              <w:ind w:left="220"/>
              <w:spacing w:after="0"/>
              <w:rPr>
                <w:sz w:val="20"/>
                <w:szCs w:val="20"/>
                <w:color w:val="auto"/>
              </w:rPr>
            </w:pPr>
            <w:r>
              <w:rPr>
                <w:rFonts w:ascii="Arial" w:cs="Arial" w:eastAsia="Arial" w:hAnsi="Arial"/>
                <w:sz w:val="18"/>
                <w:szCs w:val="18"/>
                <w:color w:val="auto"/>
              </w:rPr>
              <w:t>Net Book Value of Accounts Written Off</w:t>
            </w: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(87,622)</w:t>
            </w:r>
          </w:p>
        </w:tc>
        <w:tc>
          <w:tcPr>
            <w:tcW w:w="4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(109,203)</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(256,820)</w:t>
            </w:r>
          </w:p>
        </w:tc>
        <w:tc>
          <w:tcPr>
            <w:tcW w:w="4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(302,945)</w:t>
            </w: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Recoveries</w:t>
            </w: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8,654</w:t>
            </w: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8,736</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30,400</w:t>
            </w: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27,623</w:t>
            </w:r>
          </w:p>
        </w:tc>
        <w:tc>
          <w:tcPr>
            <w:tcW w:w="0" w:type="dxa"/>
            <w:vAlign w:val="bottom"/>
          </w:tcPr>
          <w:p>
            <w:pPr>
              <w:spacing w:after="0"/>
              <w:rPr>
                <w:sz w:val="1"/>
                <w:szCs w:val="1"/>
                <w:color w:val="auto"/>
              </w:rPr>
            </w:pPr>
          </w:p>
        </w:tc>
      </w:tr>
      <w:tr>
        <w:trPr>
          <w:trHeight w:val="229"/>
        </w:trPr>
        <w:tc>
          <w:tcPr>
            <w:tcW w:w="44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Accounts Receivable Provision</w:t>
            </w: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81,459</w:t>
            </w:r>
          </w:p>
        </w:tc>
        <w:tc>
          <w:tcPr>
            <w:tcW w:w="4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104,303</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225,191</w:t>
            </w:r>
          </w:p>
        </w:tc>
        <w:tc>
          <w:tcPr>
            <w:tcW w:w="4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289,823</w:t>
            </w:r>
          </w:p>
        </w:tc>
        <w:tc>
          <w:tcPr>
            <w:tcW w:w="0" w:type="dxa"/>
            <w:vAlign w:val="bottom"/>
          </w:tcPr>
          <w:p>
            <w:pPr>
              <w:spacing w:after="0"/>
              <w:rPr>
                <w:sz w:val="1"/>
                <w:szCs w:val="1"/>
                <w:color w:val="auto"/>
              </w:rPr>
            </w:pPr>
          </w:p>
        </w:tc>
      </w:tr>
      <w:tr>
        <w:trPr>
          <w:trHeight w:val="248"/>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68,035</w:t>
            </w: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85,734</w:t>
            </w:r>
          </w:p>
        </w:tc>
        <w:tc>
          <w:tcPr>
            <w:tcW w:w="4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68,035</w:t>
            </w: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85,734</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Merchandise</w:t>
      </w:r>
    </w:p>
    <w:p>
      <w:pPr>
        <w:spacing w:after="0" w:line="10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Progressive Leasing's merchandise consists primarily of furniture, appliances, electronics, jewelry, mobile phones and accessories, mattresses, automobile electronics and accessories, and a variety of other products, and is recorded at the lower of depreciated cost or net realizable value. Progressive Leasing depreciates lease merchandise to a 0% salvage value generally over 12 months. Depreciation is accelerated upon early buyout. All of Progressive Leasing's merchandise, net of accumulated depreciation and allowances, represents on-lease merchandise.</w:t>
      </w:r>
    </w:p>
    <w:p>
      <w:pPr>
        <w:spacing w:after="0" w:line="3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records a provision for write-offs using the allowance method. The allowance method for lease merchandise write-offs estimates the merchandise losses incurred but not yet identified by management as of the end of the accounting period based on historical write-off experience. Other qualitative factors, such as current and forecasted customer payment trends, are considered in estimating the allowance. Given the significant uncertainty regarding the impacts of inflation, higher interest rates, the resumption of student loan repayments, and/or unemployment rates on our business, a high level of estimation was involved in determining the allowance as of September 30, 2023. Actual lease merchandise write-offs may differ materially from the allowance as of September 30, 2023. If the elevated rate of inflation that began during 2022 continues in future periods, or if the current level of inflation does not decrease, such developments may further adversely impact our customers' ability to continue to make payments to the Company. For customer lease agreements that are past due, the Company's policy is to write off lease merchandise after 120 days.</w:t>
      </w:r>
    </w:p>
    <w:p>
      <w:pPr>
        <w:spacing w:after="0" w:line="5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following table shows the components of the allowance for lease merchandise write-offs, which is included within lease merchandise, net in the condensed consolidated balance sheets:</w:t>
      </w:r>
    </w:p>
    <w:p>
      <w:pPr>
        <w:spacing w:after="0" w:line="148"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4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60" w:type="dxa"/>
            <w:vAlign w:val="bottom"/>
            <w:gridSpan w:val="3"/>
          </w:tcPr>
          <w:p>
            <w:pPr>
              <w:jc w:val="right"/>
              <w:ind w:right="513"/>
              <w:spacing w:after="0"/>
              <w:rPr>
                <w:sz w:val="20"/>
                <w:szCs w:val="20"/>
                <w:color w:val="auto"/>
              </w:rPr>
            </w:pPr>
            <w:r>
              <w:rPr>
                <w:rFonts w:ascii="Arial" w:cs="Arial" w:eastAsia="Arial" w:hAnsi="Arial"/>
                <w:sz w:val="14"/>
                <w:szCs w:val="14"/>
                <w:b w:val="1"/>
                <w:bCs w:val="1"/>
                <w:color w:val="auto"/>
              </w:rPr>
              <w:t>Three Months Ended September 30,</w:t>
            </w:r>
          </w:p>
        </w:tc>
        <w:tc>
          <w:tcPr>
            <w:tcW w:w="420" w:type="dxa"/>
            <w:vAlign w:val="bottom"/>
          </w:tcPr>
          <w:p>
            <w:pPr>
              <w:spacing w:after="0"/>
              <w:rPr>
                <w:sz w:val="16"/>
                <w:szCs w:val="16"/>
                <w:color w:val="auto"/>
              </w:rPr>
            </w:pPr>
          </w:p>
        </w:tc>
        <w:tc>
          <w:tcPr>
            <w:tcW w:w="3020" w:type="dxa"/>
            <w:vAlign w:val="bottom"/>
            <w:gridSpan w:val="3"/>
          </w:tcPr>
          <w:p>
            <w:pPr>
              <w:jc w:val="right"/>
              <w:ind w:right="533"/>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5"/>
        </w:trPr>
        <w:tc>
          <w:tcPr>
            <w:tcW w:w="43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6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2023</w:t>
            </w:r>
          </w:p>
        </w:tc>
        <w:tc>
          <w:tcPr>
            <w:tcW w:w="4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49,479</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70,579</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47,118</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54,367</w:t>
            </w:r>
          </w:p>
        </w:tc>
        <w:tc>
          <w:tcPr>
            <w:tcW w:w="0" w:type="dxa"/>
            <w:vAlign w:val="bottom"/>
          </w:tcPr>
          <w:p>
            <w:pPr>
              <w:spacing w:after="0"/>
              <w:rPr>
                <w:sz w:val="1"/>
                <w:szCs w:val="1"/>
                <w:color w:val="auto"/>
              </w:rPr>
            </w:pPr>
          </w:p>
        </w:tc>
      </w:tr>
      <w:tr>
        <w:trPr>
          <w:trHeight w:val="229"/>
        </w:trPr>
        <w:tc>
          <w:tcPr>
            <w:tcW w:w="4360" w:type="dxa"/>
            <w:vAlign w:val="bottom"/>
          </w:tcPr>
          <w:p>
            <w:pPr>
              <w:ind w:left="220"/>
              <w:spacing w:after="0"/>
              <w:rPr>
                <w:sz w:val="20"/>
                <w:szCs w:val="20"/>
                <w:color w:val="auto"/>
              </w:rPr>
            </w:pPr>
            <w:r>
              <w:rPr>
                <w:rFonts w:ascii="Arial" w:cs="Arial" w:eastAsia="Arial" w:hAnsi="Arial"/>
                <w:sz w:val="18"/>
                <w:szCs w:val="18"/>
                <w:color w:val="auto"/>
              </w:rPr>
              <w:t>Net Book Value of Merchandise Written off</w:t>
            </w: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(42,138)</w:t>
            </w:r>
          </w:p>
        </w:tc>
        <w:tc>
          <w:tcPr>
            <w:tcW w:w="4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(56,810)</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(122,721)</w:t>
            </w: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(157,376)</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Recoveries</w:t>
            </w: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1,788</w:t>
            </w: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2,329</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5,403</w:t>
            </w: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6,989</w:t>
            </w:r>
          </w:p>
        </w:tc>
        <w:tc>
          <w:tcPr>
            <w:tcW w:w="0" w:type="dxa"/>
            <w:vAlign w:val="bottom"/>
          </w:tcPr>
          <w:p>
            <w:pPr>
              <w:spacing w:after="0"/>
              <w:rPr>
                <w:sz w:val="1"/>
                <w:szCs w:val="1"/>
                <w:color w:val="auto"/>
              </w:rPr>
            </w:pPr>
          </w:p>
        </w:tc>
      </w:tr>
      <w:tr>
        <w:trPr>
          <w:trHeight w:val="230"/>
        </w:trPr>
        <w:tc>
          <w:tcPr>
            <w:tcW w:w="43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Provision for Write-offs</w:t>
            </w: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36,966</w:t>
            </w:r>
          </w:p>
        </w:tc>
        <w:tc>
          <w:tcPr>
            <w:tcW w:w="4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43,537</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116,295</w:t>
            </w:r>
          </w:p>
        </w:tc>
        <w:tc>
          <w:tcPr>
            <w:tcW w:w="4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155,655</w:t>
            </w:r>
          </w:p>
        </w:tc>
        <w:tc>
          <w:tcPr>
            <w:tcW w:w="0" w:type="dxa"/>
            <w:vAlign w:val="bottom"/>
          </w:tcPr>
          <w:p>
            <w:pPr>
              <w:spacing w:after="0"/>
              <w:rPr>
                <w:sz w:val="1"/>
                <w:szCs w:val="1"/>
                <w:color w:val="auto"/>
              </w:rPr>
            </w:pPr>
          </w:p>
        </w:tc>
      </w:tr>
      <w:tr>
        <w:trPr>
          <w:trHeight w:val="248"/>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46,095</w:t>
            </w: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59,635</w:t>
            </w:r>
          </w:p>
        </w:tc>
        <w:tc>
          <w:tcPr>
            <w:tcW w:w="4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46,095</w:t>
            </w:r>
          </w:p>
        </w:tc>
        <w:tc>
          <w:tcPr>
            <w:tcW w:w="4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59,635</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Vendor Incentives and Rebates Provided to POS Partners</w:t>
      </w:r>
    </w:p>
    <w:p>
      <w:pPr>
        <w:spacing w:after="0" w:line="9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Progressive Leasing has agreements with some of its POS partners that require additional consideration to be paid to the POS partner, including payments for exclusivity, rebates based on lease volume originations generated through the POS partners, and payments to the POS partners for marketing or other development initiatives to promote additional lease originations through these POS partners. Payments made to POS partners as consideration for them providing exclusivity to Progressive Leasing for lease-to-own transactions with customers of the POS partner are expensed on a straight-line basis over the exclusivity term. Rebates are accrued over the period the POS partner is earning the rebate, which is typically based on quarterly or annual lease origination volumes. Payments made to POS partners for marketing or development initiatives are expensed on a straight-line basis over the period the POS partner is earning the funds or the specified marketing term. Progressive Leasing expensed $6.3 million and $20.7 million for such additional consideration to POS partners, during the three and nine months ended September 30, 2023, respectively, compared to $6.2 million and $19.0 million during the three and nine</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months ended September 30, 2022. Expenses related to additional consideration provided to POS partners are classified within operating expenses in the condensed consolidated statements of earnings.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 Receivable, Net</w:t>
      </w:r>
    </w:p>
    <w:p>
      <w:pPr>
        <w:spacing w:after="0" w:line="9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Gross loans receivable primarily represents the principal balances of credit card charges at Vive's participating merchants that remain due from cardholders, plus unpaid interest and fees due from cardholders. The allowance and unamortized fees represent uncollectible amounts; merchant fee discounts, net of capitalized origination costs; promotional fee discounts; and deferred annual card fees. Loans receivable, net, also includes $3.8 million and $5.3 million of outstanding receivables from customers of Four as of September 30, 2023 and December 31, 2022, respectively.</w:t>
      </w:r>
    </w:p>
    <w:p>
      <w:pPr>
        <w:spacing w:after="0" w:line="50"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Economic conditions and loan performance trends are closely monitored to manage and evaluate exposure to credit risk. Trends in delinquency rates are an indicator of credit risk within the loans receivable portfolio, including the migration of loans between delinquency categories over time. Charge-off rates represent another indicator of the potential for future credit losses. The risk in the loans receivable portfolio is correlated with broad economic trends, such as current and projected unemployment rates, stock market volatility, and changes in medium and long-term risk-free rates, which are considered in determining the allowance for loan losses and can have a material effect on credit performance.</w:t>
      </w:r>
    </w:p>
    <w:p>
      <w:pPr>
        <w:spacing w:after="0" w:line="5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Expected lifetime losses on loans receivable are recognized upon loan acquisition, which requires the Company to make its best estimate of probable lifetime losses at the time of acquisition. Vive's credit card loans do not have contractually stated maturity dates, which requires the Company to estimate an average life of loan by analyzing historical payment trends to determine an expected remaining life of the loan balance. The Company segments its loans receivable portfolio into homogenous pools by Fair Isaac and Company ("FICO") score and by delinquency status and evaluates loans receivable collectively for impairment when similar risk characteristics exist.</w:t>
      </w:r>
    </w:p>
    <w:p>
      <w:pPr>
        <w:spacing w:after="0" w:line="53"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 Company calculates Vive's allowance for loan losses based on internal historical loss information and incorporates observable and forecasted macroeconomic data over a twelve-month reasonable and supportable forecast period. Incorporating macroeconomic data could have a material impact on the measurement of the allowance to the extent that forecasted data changes significantly, such as higher forecasted inflation and unemployment rates. Subsequent to the twelve-month reasonable and supportable forecast period described above, the Company reverts to using historical loss information on a straight-line basis over a six-month period. For the remaining life of the portfolio, the Company utilizes historical loss information. The Company may also consider other qualitative factors in estimating the allowance, as necessary. For the purposes of determining the allowance as of September 30, 2023, management considered qualitative factors such as the impact of the rapid increase in the rate of inflation that began during 2022 and remained high through early 2023, the more recent declines in inflation rates, as well as the beneficial impact of government stimulus measures to the Company's customer base in 2021. The allowance for loan losses is maintained at a level considered appropriate to cover expected future losses of principal, interest and fees on active loans in the loans receivable portfolio. The appropriateness of the allowance is evaluated at each period end. To the extent that actual results differ from estimates of uncollectible loans receivable, due to the volatility of inflation, forecasted higher unemployment rates, housing costs, and/or the resumption of student loan repayments in October 2023, the Company's results of operations and liquidity may be materially affected.</w:t>
      </w:r>
    </w:p>
    <w:p>
      <w:pPr>
        <w:spacing w:after="0" w:line="46"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Vive's delinquent loans receivable includes those that are 30 days or more past due based on their contractual billing dates. Vive's loans receivable are placed on nonaccrual status when they are greater than 90 days past due or upon notification of cardholder bankruptcy, death or fraud. The Company discontinues accruing interest and fees and amortizing merchant fee discounts and promotional fee discounts for Vive's loans receivable in nonaccrual status. Loans receivable are removed from nonaccrual status when cardholder payments resume, the loan becomes 90 days or less past due and collection of the remaining amounts outstanding is deemed probable. Payments received on nonaccrual loans are allocated according to the same payment hierarchy methodology applied to loans that are accruing interest. Loans receivable are charged off no later than the end of the following month after the billing cycle in which the loans receivable become 120 days past due.</w:t>
      </w:r>
    </w:p>
    <w:p>
      <w:pPr>
        <w:spacing w:after="0" w:line="56"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Vive extends or declines credit to an applicant through its bank partners based upon the applicant's credit rating and other factors. Below is a summary of the credit quality of the Company's loan portfolio as of September 30, 2023 and December 31, 2022 by FICO score as determined at the time of loan origination: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60" w:type="dxa"/>
            <w:vAlign w:val="bottom"/>
          </w:tcPr>
          <w:p>
            <w:pPr>
              <w:ind w:left="20"/>
              <w:spacing w:after="0"/>
              <w:rPr>
                <w:sz w:val="20"/>
                <w:szCs w:val="20"/>
                <w:color w:val="auto"/>
              </w:rPr>
            </w:pPr>
            <w:r>
              <w:rPr>
                <w:rFonts w:ascii="Arial" w:cs="Arial" w:eastAsia="Arial" w:hAnsi="Arial"/>
                <w:sz w:val="14"/>
                <w:szCs w:val="14"/>
                <w:b w:val="1"/>
                <w:bCs w:val="1"/>
                <w:color w:val="auto"/>
              </w:rPr>
              <w:t>FICO Score Category</w:t>
            </w:r>
          </w:p>
        </w:tc>
        <w:tc>
          <w:tcPr>
            <w:tcW w:w="6000" w:type="dxa"/>
            <w:vAlign w:val="bottom"/>
          </w:tcPr>
          <w:p>
            <w:pPr>
              <w:jc w:val="right"/>
              <w:ind w:right="373"/>
              <w:spacing w:after="0"/>
              <w:rPr>
                <w:sz w:val="20"/>
                <w:szCs w:val="20"/>
                <w:color w:val="auto"/>
              </w:rPr>
            </w:pPr>
            <w:r>
              <w:rPr>
                <w:rFonts w:ascii="Arial" w:cs="Arial" w:eastAsia="Arial" w:hAnsi="Arial"/>
                <w:sz w:val="14"/>
                <w:szCs w:val="14"/>
                <w:b w:val="1"/>
                <w:bCs w:val="1"/>
                <w:color w:val="auto"/>
              </w:rPr>
              <w:t>September 30, 2023</w:t>
            </w:r>
          </w:p>
        </w:tc>
        <w:tc>
          <w:tcPr>
            <w:tcW w:w="1680" w:type="dxa"/>
            <w:vAlign w:val="bottom"/>
          </w:tcPr>
          <w:p>
            <w:pPr>
              <w:jc w:val="right"/>
              <w:ind w:right="214"/>
              <w:spacing w:after="0"/>
              <w:rPr>
                <w:sz w:val="20"/>
                <w:szCs w:val="20"/>
                <w:color w:val="auto"/>
              </w:rPr>
            </w:pPr>
            <w:r>
              <w:rPr>
                <w:rFonts w:ascii="Arial" w:cs="Arial" w:eastAsia="Arial" w:hAnsi="Arial"/>
                <w:sz w:val="14"/>
                <w:szCs w:val="14"/>
                <w:b w:val="1"/>
                <w:bCs w:val="1"/>
                <w:color w:val="auto"/>
              </w:rPr>
              <w:t>December 31, 2022</w:t>
            </w:r>
          </w:p>
        </w:tc>
      </w:tr>
      <w:tr>
        <w:trPr>
          <w:trHeight w:val="25"/>
        </w:trPr>
        <w:tc>
          <w:tcPr>
            <w:tcW w:w="3560" w:type="dxa"/>
            <w:vAlign w:val="bottom"/>
            <w:tcBorders>
              <w:bottom w:val="single" w:sz="8" w:color="auto"/>
            </w:tcBorders>
          </w:tcPr>
          <w:p>
            <w:pPr>
              <w:spacing w:after="0"/>
              <w:rPr>
                <w:sz w:val="2"/>
                <w:szCs w:val="2"/>
                <w:color w:val="auto"/>
              </w:rPr>
            </w:pPr>
          </w:p>
        </w:tc>
        <w:tc>
          <w:tcPr>
            <w:tcW w:w="60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23"/>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600 or Less</w:t>
            </w:r>
          </w:p>
        </w:tc>
        <w:tc>
          <w:tcPr>
            <w:tcW w:w="60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6.8 %</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6.9 %</w:t>
            </w:r>
          </w:p>
        </w:tc>
      </w:tr>
      <w:tr>
        <w:trPr>
          <w:trHeight w:val="230"/>
        </w:trPr>
        <w:tc>
          <w:tcPr>
            <w:tcW w:w="3560" w:type="dxa"/>
            <w:vAlign w:val="bottom"/>
          </w:tcPr>
          <w:p>
            <w:pPr>
              <w:ind w:left="20"/>
              <w:spacing w:after="0"/>
              <w:rPr>
                <w:sz w:val="20"/>
                <w:szCs w:val="20"/>
                <w:color w:val="auto"/>
              </w:rPr>
            </w:pPr>
            <w:r>
              <w:rPr>
                <w:rFonts w:ascii="Arial" w:cs="Arial" w:eastAsia="Arial" w:hAnsi="Arial"/>
                <w:sz w:val="18"/>
                <w:szCs w:val="18"/>
                <w:color w:val="auto"/>
              </w:rPr>
              <w:t>Between 600 and 700</w:t>
            </w:r>
          </w:p>
        </w:tc>
        <w:tc>
          <w:tcPr>
            <w:tcW w:w="6000" w:type="dxa"/>
            <w:vAlign w:val="bottom"/>
          </w:tcPr>
          <w:p>
            <w:pPr>
              <w:jc w:val="right"/>
              <w:ind w:right="113"/>
              <w:spacing w:after="0"/>
              <w:rPr>
                <w:sz w:val="20"/>
                <w:szCs w:val="20"/>
                <w:color w:val="auto"/>
              </w:rPr>
            </w:pPr>
            <w:r>
              <w:rPr>
                <w:rFonts w:ascii="Arial" w:cs="Arial" w:eastAsia="Arial" w:hAnsi="Arial"/>
                <w:sz w:val="18"/>
                <w:szCs w:val="18"/>
                <w:color w:val="auto"/>
              </w:rPr>
              <w:t>77.7 %</w:t>
            </w:r>
          </w:p>
        </w:tc>
        <w:tc>
          <w:tcPr>
            <w:tcW w:w="1680" w:type="dxa"/>
            <w:vAlign w:val="bottom"/>
          </w:tcPr>
          <w:p>
            <w:pPr>
              <w:jc w:val="right"/>
              <w:spacing w:after="0"/>
              <w:rPr>
                <w:sz w:val="20"/>
                <w:szCs w:val="20"/>
                <w:color w:val="auto"/>
              </w:rPr>
            </w:pPr>
            <w:r>
              <w:rPr>
                <w:rFonts w:ascii="Arial" w:cs="Arial" w:eastAsia="Arial" w:hAnsi="Arial"/>
                <w:sz w:val="18"/>
                <w:szCs w:val="18"/>
                <w:color w:val="auto"/>
              </w:rPr>
              <w:t>75.4 %</w:t>
            </w:r>
          </w:p>
        </w:tc>
      </w:tr>
      <w:tr>
        <w:trPr>
          <w:trHeight w:val="230"/>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700 or Greater</w:t>
            </w:r>
          </w:p>
        </w:tc>
        <w:tc>
          <w:tcPr>
            <w:tcW w:w="60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12.2 %</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13.4 %</w:t>
            </w:r>
          </w:p>
        </w:tc>
      </w:tr>
      <w:tr>
        <w:trPr>
          <w:trHeight w:val="230"/>
        </w:trPr>
        <w:tc>
          <w:tcPr>
            <w:tcW w:w="3560" w:type="dxa"/>
            <w:vAlign w:val="bottom"/>
          </w:tcPr>
          <w:p>
            <w:pPr>
              <w:ind w:left="20"/>
              <w:spacing w:after="0"/>
              <w:rPr>
                <w:sz w:val="20"/>
                <w:szCs w:val="20"/>
                <w:color w:val="auto"/>
              </w:rPr>
            </w:pPr>
            <w:r>
              <w:rPr>
                <w:rFonts w:ascii="Arial" w:cs="Arial" w:eastAsia="Arial" w:hAnsi="Arial"/>
                <w:sz w:val="18"/>
                <w:szCs w:val="18"/>
                <w:color w:val="auto"/>
              </w:rPr>
              <w:t>No Score Identified</w:t>
            </w:r>
          </w:p>
        </w:tc>
        <w:tc>
          <w:tcPr>
            <w:tcW w:w="6000" w:type="dxa"/>
            <w:vAlign w:val="bottom"/>
          </w:tcPr>
          <w:p>
            <w:pPr>
              <w:jc w:val="right"/>
              <w:ind w:right="113"/>
              <w:spacing w:after="0"/>
              <w:rPr>
                <w:sz w:val="20"/>
                <w:szCs w:val="20"/>
                <w:color w:val="auto"/>
              </w:rPr>
            </w:pPr>
            <w:r>
              <w:rPr>
                <w:rFonts w:ascii="Arial" w:cs="Arial" w:eastAsia="Arial" w:hAnsi="Arial"/>
                <w:sz w:val="18"/>
                <w:szCs w:val="18"/>
                <w:color w:val="auto"/>
              </w:rPr>
              <w:t>3.3 %</w:t>
            </w:r>
          </w:p>
        </w:tc>
        <w:tc>
          <w:tcPr>
            <w:tcW w:w="1680" w:type="dxa"/>
            <w:vAlign w:val="bottom"/>
          </w:tcPr>
          <w:p>
            <w:pPr>
              <w:jc w:val="right"/>
              <w:spacing w:after="0"/>
              <w:rPr>
                <w:sz w:val="20"/>
                <w:szCs w:val="20"/>
                <w:color w:val="auto"/>
              </w:rPr>
            </w:pPr>
            <w:r>
              <w:rPr>
                <w:rFonts w:ascii="Arial" w:cs="Arial" w:eastAsia="Arial" w:hAnsi="Arial"/>
                <w:sz w:val="18"/>
                <w:szCs w:val="18"/>
                <w:color w:val="auto"/>
              </w:rPr>
              <w:t>4.3 %</w:t>
            </w:r>
          </w:p>
        </w:tc>
      </w:tr>
      <w:tr>
        <w:trPr>
          <w:trHeight w:val="890"/>
        </w:trPr>
        <w:tc>
          <w:tcPr>
            <w:tcW w:w="3560" w:type="dxa"/>
            <w:vAlign w:val="bottom"/>
          </w:tcPr>
          <w:p>
            <w:pPr>
              <w:spacing w:after="0"/>
              <w:rPr>
                <w:sz w:val="24"/>
                <w:szCs w:val="24"/>
                <w:color w:val="auto"/>
              </w:rPr>
            </w:pPr>
          </w:p>
        </w:tc>
        <w:tc>
          <w:tcPr>
            <w:tcW w:w="6000" w:type="dxa"/>
            <w:vAlign w:val="bottom"/>
          </w:tcPr>
          <w:p>
            <w:pPr>
              <w:jc w:val="right"/>
              <w:ind w:right="3753"/>
              <w:spacing w:after="0"/>
              <w:rPr>
                <w:sz w:val="20"/>
                <w:szCs w:val="20"/>
                <w:color w:val="auto"/>
              </w:rPr>
            </w:pPr>
            <w:r>
              <w:rPr>
                <w:rFonts w:ascii="Arial" w:cs="Arial" w:eastAsia="Arial" w:hAnsi="Arial"/>
                <w:sz w:val="18"/>
                <w:szCs w:val="18"/>
                <w:color w:val="auto"/>
              </w:rPr>
              <w:t>10</w:t>
            </w:r>
          </w:p>
        </w:tc>
        <w:tc>
          <w:tcPr>
            <w:tcW w:w="1680" w:type="dxa"/>
            <w:vAlign w:val="bottom"/>
          </w:tcPr>
          <w:p>
            <w:pPr>
              <w:spacing w:after="0"/>
              <w:rPr>
                <w:sz w:val="24"/>
                <w:szCs w:val="24"/>
                <w:color w:val="auto"/>
              </w:rPr>
            </w:pPr>
          </w:p>
        </w:tc>
      </w:tr>
      <w:tr>
        <w:trPr>
          <w:trHeight w:val="115"/>
        </w:trPr>
        <w:tc>
          <w:tcPr>
            <w:tcW w:w="3560" w:type="dxa"/>
            <w:vAlign w:val="bottom"/>
            <w:tcBorders>
              <w:bottom w:val="single" w:sz="8" w:color="9A9A9A"/>
            </w:tcBorders>
          </w:tcPr>
          <w:p>
            <w:pPr>
              <w:spacing w:after="0"/>
              <w:rPr>
                <w:sz w:val="10"/>
                <w:szCs w:val="10"/>
                <w:color w:val="auto"/>
              </w:rPr>
            </w:pPr>
          </w:p>
        </w:tc>
        <w:tc>
          <w:tcPr>
            <w:tcW w:w="600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Expenses and Other Assets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assets consist of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6"/>
                <w:szCs w:val="16"/>
                <w:color w:val="auto"/>
              </w:rPr>
            </w:pPr>
          </w:p>
        </w:tc>
        <w:tc>
          <w:tcPr>
            <w:tcW w:w="1500" w:type="dxa"/>
            <w:vAlign w:val="bottom"/>
          </w:tcPr>
          <w:p>
            <w:pPr>
              <w:jc w:val="right"/>
              <w:ind w:right="153"/>
              <w:spacing w:after="0"/>
              <w:rPr>
                <w:sz w:val="20"/>
                <w:szCs w:val="20"/>
                <w:color w:val="auto"/>
              </w:rPr>
            </w:pPr>
            <w:r>
              <w:rPr>
                <w:rFonts w:ascii="Arial" w:cs="Arial" w:eastAsia="Arial" w:hAnsi="Arial"/>
                <w:sz w:val="14"/>
                <w:szCs w:val="14"/>
                <w:b w:val="1"/>
                <w:bCs w:val="1"/>
                <w:color w:val="auto"/>
                <w:w w:val="94"/>
              </w:rPr>
              <w:t>September 30, 2023</w:t>
            </w:r>
          </w:p>
        </w:tc>
        <w:tc>
          <w:tcPr>
            <w:tcW w:w="240" w:type="dxa"/>
            <w:vAlign w:val="bottom"/>
          </w:tcPr>
          <w:p>
            <w:pPr>
              <w:spacing w:after="0"/>
              <w:rPr>
                <w:sz w:val="16"/>
                <w:szCs w:val="16"/>
                <w:color w:val="auto"/>
              </w:rPr>
            </w:pPr>
          </w:p>
        </w:tc>
        <w:tc>
          <w:tcPr>
            <w:tcW w:w="1480" w:type="dxa"/>
            <w:vAlign w:val="bottom"/>
          </w:tcPr>
          <w:p>
            <w:pPr>
              <w:jc w:val="right"/>
              <w:ind w:right="153"/>
              <w:spacing w:after="0"/>
              <w:rPr>
                <w:sz w:val="20"/>
                <w:szCs w:val="20"/>
                <w:color w:val="auto"/>
              </w:rPr>
            </w:pPr>
            <w:r>
              <w:rPr>
                <w:rFonts w:ascii="Arial" w:cs="Arial" w:eastAsia="Arial" w:hAnsi="Arial"/>
                <w:sz w:val="14"/>
                <w:szCs w:val="14"/>
                <w:b w:val="1"/>
                <w:bCs w:val="1"/>
                <w:color w:val="auto"/>
                <w:w w:val="96"/>
              </w:rPr>
              <w:t>December 31, 2022</w:t>
            </w:r>
          </w:p>
        </w:tc>
      </w:tr>
      <w:tr>
        <w:trPr>
          <w:trHeight w:val="26"/>
        </w:trPr>
        <w:tc>
          <w:tcPr>
            <w:tcW w:w="7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21,370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18,845</w:t>
            </w: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Prepaid Lease Merchandise</w:t>
            </w:r>
          </w:p>
        </w:tc>
        <w:tc>
          <w:tcPr>
            <w:tcW w:w="160" w:type="dxa"/>
            <w:vAlign w:val="bottom"/>
          </w:tcPr>
          <w:p>
            <w:pPr>
              <w:spacing w:after="0"/>
              <w:rPr>
                <w:sz w:val="19"/>
                <w:szCs w:val="19"/>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5,955</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10,134</w:t>
            </w: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Software Expenses</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7,006</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7,022</w:t>
            </w: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Unamortized Initial Direct Costs on Lease Agreement Originations</w:t>
            </w:r>
          </w:p>
        </w:tc>
        <w:tc>
          <w:tcPr>
            <w:tcW w:w="160" w:type="dxa"/>
            <w:vAlign w:val="bottom"/>
          </w:tcPr>
          <w:p>
            <w:pPr>
              <w:spacing w:after="0"/>
              <w:rPr>
                <w:sz w:val="19"/>
                <w:szCs w:val="19"/>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5,312</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6,016</w:t>
            </w: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6,926</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6,464</w:t>
            </w:r>
          </w:p>
        </w:tc>
      </w:tr>
      <w:tr>
        <w:trPr>
          <w:trHeight w:val="223"/>
        </w:trPr>
        <w:tc>
          <w:tcPr>
            <w:tcW w:w="7860" w:type="dxa"/>
            <w:vAlign w:val="bottom"/>
          </w:tcPr>
          <w:p>
            <w:pPr>
              <w:ind w:left="20"/>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46,569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48,481</w:t>
            </w:r>
          </w:p>
        </w:tc>
      </w:tr>
      <w:tr>
        <w:trPr>
          <w:trHeight w:val="20"/>
        </w:trPr>
        <w:tc>
          <w:tcPr>
            <w:tcW w:w="7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incurs costs to implement cloud computing arrangements ("CCA") that are hosted by third-party vendors. Implementation costs associated with CCA are capitalized when incurred during the application development phase and are recorded within prepaid software expenses above. Amortization is calculated on a straight-line basis over the contractual term of the arrangement and is included within computer software expense as a component of operating expenses in the condensed consolidated statements of earnings.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Payable and Accrued Expenses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and accrued expenses consist of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6"/>
                <w:szCs w:val="16"/>
                <w:color w:val="auto"/>
              </w:rPr>
            </w:pPr>
          </w:p>
        </w:tc>
        <w:tc>
          <w:tcPr>
            <w:tcW w:w="1500" w:type="dxa"/>
            <w:vAlign w:val="bottom"/>
          </w:tcPr>
          <w:p>
            <w:pPr>
              <w:jc w:val="right"/>
              <w:ind w:right="152"/>
              <w:spacing w:after="0"/>
              <w:rPr>
                <w:sz w:val="20"/>
                <w:szCs w:val="20"/>
                <w:color w:val="auto"/>
              </w:rPr>
            </w:pPr>
            <w:r>
              <w:rPr>
                <w:rFonts w:ascii="Arial" w:cs="Arial" w:eastAsia="Arial" w:hAnsi="Arial"/>
                <w:sz w:val="14"/>
                <w:szCs w:val="14"/>
                <w:b w:val="1"/>
                <w:bCs w:val="1"/>
                <w:color w:val="auto"/>
                <w:w w:val="94"/>
              </w:rPr>
              <w:t>September 30, 2023</w:t>
            </w:r>
          </w:p>
        </w:tc>
        <w:tc>
          <w:tcPr>
            <w:tcW w:w="240" w:type="dxa"/>
            <w:vAlign w:val="bottom"/>
          </w:tcPr>
          <w:p>
            <w:pPr>
              <w:spacing w:after="0"/>
              <w:rPr>
                <w:sz w:val="16"/>
                <w:szCs w:val="16"/>
                <w:color w:val="auto"/>
              </w:rPr>
            </w:pPr>
          </w:p>
        </w:tc>
        <w:tc>
          <w:tcPr>
            <w:tcW w:w="1480" w:type="dxa"/>
            <w:vAlign w:val="bottom"/>
          </w:tcPr>
          <w:p>
            <w:pPr>
              <w:jc w:val="right"/>
              <w:ind w:right="152"/>
              <w:spacing w:after="0"/>
              <w:rPr>
                <w:sz w:val="20"/>
                <w:szCs w:val="20"/>
                <w:color w:val="auto"/>
              </w:rPr>
            </w:pPr>
            <w:r>
              <w:rPr>
                <w:rFonts w:ascii="Arial" w:cs="Arial" w:eastAsia="Arial" w:hAnsi="Arial"/>
                <w:sz w:val="14"/>
                <w:szCs w:val="14"/>
                <w:b w:val="1"/>
                <w:bCs w:val="1"/>
                <w:color w:val="auto"/>
                <w:w w:val="96"/>
              </w:rPr>
              <w:t>December 31, 2022</w:t>
            </w:r>
          </w:p>
        </w:tc>
      </w:tr>
      <w:tr>
        <w:trPr>
          <w:trHeight w:val="26"/>
        </w:trPr>
        <w:tc>
          <w:tcPr>
            <w:tcW w:w="7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16,547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14,386</w:t>
            </w: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Accrued Salaries and Benefits</w:t>
            </w:r>
          </w:p>
        </w:tc>
        <w:tc>
          <w:tcPr>
            <w:tcW w:w="160" w:type="dxa"/>
            <w:vAlign w:val="bottom"/>
          </w:tcPr>
          <w:p>
            <w:pPr>
              <w:spacing w:after="0"/>
              <w:rPr>
                <w:sz w:val="19"/>
                <w:szCs w:val="19"/>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22,858</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21,366</w:t>
            </w: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Sales and Personal Property Taxes</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12,311</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13,517</w:t>
            </w: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Income Taxes Payable</w:t>
            </w:r>
          </w:p>
        </w:tc>
        <w:tc>
          <w:tcPr>
            <w:tcW w:w="160" w:type="dxa"/>
            <w:vAlign w:val="bottom"/>
          </w:tcPr>
          <w:p>
            <w:pPr>
              <w:spacing w:after="0"/>
              <w:rPr>
                <w:sz w:val="19"/>
                <w:szCs w:val="19"/>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3,166</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1,287</w:t>
            </w:r>
          </w:p>
        </w:tc>
      </w:tr>
      <w:tr>
        <w:trPr>
          <w:trHeight w:val="230"/>
        </w:trPr>
        <w:tc>
          <w:tcPr>
            <w:tcW w:w="78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Uncertain Tax Positions</w:t>
            </w:r>
            <w:r>
              <w:rPr>
                <w:rFonts w:ascii="Arial" w:cs="Arial" w:eastAsia="Arial" w:hAnsi="Arial"/>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54,030</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51,110</w:t>
            </w: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Accrued Vendor Rebates</w:t>
            </w:r>
          </w:p>
        </w:tc>
        <w:tc>
          <w:tcPr>
            <w:tcW w:w="160" w:type="dxa"/>
            <w:vAlign w:val="bottom"/>
          </w:tcPr>
          <w:p>
            <w:pPr>
              <w:spacing w:after="0"/>
              <w:rPr>
                <w:sz w:val="19"/>
                <w:szCs w:val="19"/>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6,261</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9,320</w:t>
            </w: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Accrued Expenses and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31,362</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24,039</w:t>
            </w:r>
          </w:p>
        </w:tc>
      </w:tr>
      <w:tr>
        <w:trPr>
          <w:trHeight w:val="223"/>
        </w:trPr>
        <w:tc>
          <w:tcPr>
            <w:tcW w:w="7860" w:type="dxa"/>
            <w:vAlign w:val="bottom"/>
          </w:tcPr>
          <w:p>
            <w:pPr>
              <w:ind w:left="2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146,535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135,025</w:t>
            </w:r>
          </w:p>
        </w:tc>
      </w:tr>
      <w:tr>
        <w:trPr>
          <w:trHeight w:val="21"/>
        </w:trPr>
        <w:tc>
          <w:tcPr>
            <w:tcW w:w="7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ind w:left="80" w:right="40" w:hanging="72"/>
        <w:spacing w:after="0" w:line="219" w:lineRule="auto"/>
        <w:tabs>
          <w:tab w:leader="none" w:pos="87" w:val="left"/>
        </w:tabs>
        <w:numPr>
          <w:ilvl w:val="0"/>
          <w:numId w:val="3"/>
        </w:numPr>
        <w:rPr>
          <w:rFonts w:ascii="Arial" w:cs="Arial" w:eastAsia="Arial" w:hAnsi="Arial"/>
          <w:sz w:val="21"/>
          <w:szCs w:val="21"/>
          <w:color w:val="auto"/>
          <w:vertAlign w:val="superscript"/>
        </w:rPr>
      </w:pPr>
      <w:r>
        <w:rPr>
          <w:rFonts w:ascii="Arial" w:cs="Arial" w:eastAsia="Arial" w:hAnsi="Arial"/>
          <w:sz w:val="13"/>
          <w:szCs w:val="13"/>
          <w:color w:val="auto"/>
        </w:rPr>
        <w:t>The uncertain tax positions as of September 30, 2023 and December 31, 2022 are primarily related to the Company’s tax treatment of the $175.0 million settlement payment made in 2020 to the FTC as discussed in Note 10 and Note 11 to the consolidated financial statements in the 2022 Annual Report.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10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On November 24, 2020, the Company entered into a credit agreement with a consortium of lenders providing for a $350.0 million senior revolving credit facility (the "Revolving Facility"), under which revolving borrowings became available at the completion of the separation and distribution transaction through which the Company's historical Aaron's Business segment was spun-off into a separate company, and under which all borrowings and commitments will mature or terminate on November 24, 2025. The Company expects that the Revolving Facility will be used to provide for working capital and capital expenditures, to finance future permitted acquisitions, and for other general corporate purposes. If the Company's total net debt to EBITDA ratio as defined by the Revolving Facility exceeds 1.25, the Revolving Facility becomes fully secured for the remaining duration of the Revolving Facility term. As of June 30, 2022, the Company exceeded the 1.25 total net debt to EBITDA ratio and the Revolving Facility became fully secured. The Company had no outstanding borrowings and $350.0 million total available credit under the Revolving Facility as of September 30, 2023 and December 31, 2022.</w:t>
      </w:r>
    </w:p>
    <w:p>
      <w:pPr>
        <w:spacing w:after="0" w:line="61"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On November 26, 2021, the Company entered into an indenture in connection with an offering of $600 million aggregate principal amount of its 6.00% senior unsecured notes due 2029 (the "Senior Notes"). The Senior Notes were issued at 100% of their par value. The Senior Notes are general unsecured obligations of the Company and are guaranteed by certain of the Company’s existing and future domestic subsidiaries.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net proceeds from the Senior Notes were used to fund the purchase price, and related fees and expenses, of the Company’s tender offer to purchase</w:t>
      </w:r>
    </w:p>
    <w:p>
      <w:pPr>
        <w:spacing w:after="0" w:line="4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$425 million of the Company’s common stock as discussed in Note 12 to the consolidated financial statements in the 2022 Annual Report. Any remaining proceeds were intended for future share repurchases or, to the extent the Company determines not to repurchase additional shares, for general corporate purposes.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 w:name="page12"/>
    <w:bookmarkEnd w:id="11"/>
    <w:p>
      <w:pPr>
        <w:jc w:val="center"/>
        <w:ind w:right="-59"/>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At September 30, 2023, the Company was in compliance with all covenants related to its outstanding debt. See Note 9 to the consolidated financial statements in the 2022 Annual Report for further information regarding the Company's indebtedness.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9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Goodwill represents the excess of the purchase price paid over the fair value of the identifiable net tangible and intangible assets acquired in connection with business acquisitions. Progressive Leasing and Four are the only reporting units with goodwill as of September 30, 2023. Impairment occurs when the reporting unit's carrying value exceeds its fair value. The Company’s goodwill is not amortized but is subject to an impairment test at the reporting unit level annually as of October 1 and more frequently if events or circumstances indicate that an impairment may have occurred. Factors which could necessitate an interim impairment assessment include a sustained decline in the Company’s stock price, prolonged negative industry or economic trends and significant underperformance relative to historical results, projected future operating results, or the Company failing to successfully execute on one or more elements of Progressive Leasing and/or Four's strategic plans.</w:t>
      </w:r>
    </w:p>
    <w:p>
      <w:pPr>
        <w:spacing w:after="0" w:line="5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As of September 30, 2022, the Company determined the Four goodwill was partially impaired and recorded an impairment of goodwill of $10.2 million during the third quarter of 2022. The Company engaged the assistance of a third-party valuation firm to perform the interim goodwill impairment test for the Four reporting unit. This included an assessment of the Four reporting unit's fair value relative to the carrying value that was derived using a market approach. The market approach, which includes the guideline public company method, utilized pricing multiples derived from an analysis of other publicly traded companies that operate in the Buy Now, Pay Later industry. We believe the comparable companies we evaluated as marketplace participants served as an appropriate reference when calculating fair value because those companies have similar risks, participate in similar markets, provide similar products and services for their customers and compete with Four directly. As of September 30, 2023, Four's goodwill balance was $7.3 million. Additional goodwill impairment charges may occur in future periods if the Company fails to execute on one or more elements of Four's strategic plan, Four's actual or projected results are unfavorable compared to the current forecasted operating results, and/or there are further declines in the Buy Now, Pay Later peer market multiples.</w:t>
      </w:r>
    </w:p>
    <w:p>
      <w:pPr>
        <w:spacing w:after="0" w:line="64"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Company completed its annual goodwill impairment test for Progressive Leasing as of October 1, 2022 and concluded that no impairment had occurred. The Company determined that there were no events or circumstances that occurred during the nine months ended September 30, 2023 that would more likely than not reduce the fair value of Progressive Leasing or Four below their carrying amounts.</w:t>
      </w:r>
    </w:p>
    <w:p>
      <w:pPr>
        <w:spacing w:after="0" w:line="200" w:lineRule="exact"/>
        <w:rPr>
          <w:sz w:val="20"/>
          <w:szCs w:val="20"/>
          <w:color w:val="auto"/>
        </w:rPr>
      </w:pPr>
    </w:p>
    <w:p>
      <w:pPr>
        <w:spacing w:after="0" w:line="3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Shareholders' Equity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Changes in shareholders' equity for the nine months ended September 30, 2023 and 2022 are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00" w:type="dxa"/>
            <w:vAlign w:val="bottom"/>
          </w:tcPr>
          <w:p>
            <w:pPr>
              <w:spacing w:after="0"/>
              <w:rPr>
                <w:sz w:val="16"/>
                <w:szCs w:val="16"/>
                <w:color w:val="auto"/>
              </w:rPr>
            </w:pPr>
          </w:p>
        </w:tc>
        <w:tc>
          <w:tcPr>
            <w:tcW w:w="2360" w:type="dxa"/>
            <w:vAlign w:val="bottom"/>
            <w:gridSpan w:val="4"/>
          </w:tcPr>
          <w:p>
            <w:pPr>
              <w:ind w:left="680"/>
              <w:spacing w:after="0"/>
              <w:rPr>
                <w:sz w:val="20"/>
                <w:szCs w:val="20"/>
                <w:color w:val="auto"/>
              </w:rPr>
            </w:pPr>
            <w:r>
              <w:rPr>
                <w:rFonts w:ascii="Arial" w:cs="Arial" w:eastAsia="Arial" w:hAnsi="Arial"/>
                <w:sz w:val="14"/>
                <w:szCs w:val="14"/>
                <w:b w:val="1"/>
                <w:bCs w:val="1"/>
                <w:color w:val="auto"/>
              </w:rPr>
              <w:t>Treasury Stock</w:t>
            </w:r>
          </w:p>
        </w:tc>
        <w:tc>
          <w:tcPr>
            <w:tcW w:w="2380" w:type="dxa"/>
            <w:vAlign w:val="bottom"/>
            <w:gridSpan w:val="4"/>
          </w:tcPr>
          <w:p>
            <w:pPr>
              <w:ind w:left="720"/>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6"/>
                <w:szCs w:val="16"/>
                <w:color w:val="auto"/>
              </w:rPr>
            </w:pPr>
          </w:p>
        </w:tc>
        <w:tc>
          <w:tcPr>
            <w:tcW w:w="1200" w:type="dxa"/>
            <w:vAlign w:val="bottom"/>
            <w:vMerge w:val="restart"/>
          </w:tcPr>
          <w:p>
            <w:pPr>
              <w:jc w:val="center"/>
              <w:ind w:right="100"/>
              <w:spacing w:after="0"/>
              <w:rPr>
                <w:sz w:val="20"/>
                <w:szCs w:val="20"/>
                <w:color w:val="auto"/>
              </w:rPr>
            </w:pPr>
            <w:r>
              <w:rPr>
                <w:rFonts w:ascii="Arial" w:cs="Arial" w:eastAsia="Arial" w:hAnsi="Arial"/>
                <w:sz w:val="14"/>
                <w:szCs w:val="14"/>
                <w:b w:val="1"/>
                <w:bCs w:val="1"/>
                <w:color w:val="auto"/>
                <w:w w:val="96"/>
              </w:rPr>
              <w:t>Additional</w:t>
            </w:r>
          </w:p>
        </w:tc>
        <w:tc>
          <w:tcPr>
            <w:tcW w:w="240" w:type="dxa"/>
            <w:vAlign w:val="bottom"/>
          </w:tcPr>
          <w:p>
            <w:pPr>
              <w:spacing w:after="0"/>
              <w:rPr>
                <w:sz w:val="16"/>
                <w:szCs w:val="16"/>
                <w:color w:val="auto"/>
              </w:rPr>
            </w:pPr>
          </w:p>
        </w:tc>
        <w:tc>
          <w:tcPr>
            <w:tcW w:w="960" w:type="dxa"/>
            <w:vAlign w:val="bottom"/>
            <w:vMerge w:val="restart"/>
          </w:tcPr>
          <w:p>
            <w:pPr>
              <w:jc w:val="right"/>
              <w:ind w:right="220"/>
              <w:spacing w:after="0"/>
              <w:rPr>
                <w:sz w:val="20"/>
                <w:szCs w:val="20"/>
                <w:color w:val="auto"/>
              </w:rPr>
            </w:pPr>
            <w:r>
              <w:rPr>
                <w:rFonts w:ascii="Arial" w:cs="Arial" w:eastAsia="Arial" w:hAnsi="Arial"/>
                <w:sz w:val="14"/>
                <w:szCs w:val="14"/>
                <w:b w:val="1"/>
                <w:bCs w:val="1"/>
                <w:color w:val="auto"/>
              </w:rPr>
              <w:t>Retained</w:t>
            </w:r>
          </w:p>
        </w:tc>
        <w:tc>
          <w:tcPr>
            <w:tcW w:w="1380" w:type="dxa"/>
            <w:vAlign w:val="bottom"/>
            <w:gridSpan w:val="2"/>
            <w:vMerge w:val="restart"/>
          </w:tcPr>
          <w:p>
            <w:pPr>
              <w:jc w:val="center"/>
              <w:ind w:left="1"/>
              <w:spacing w:after="0"/>
              <w:rPr>
                <w:sz w:val="20"/>
                <w:szCs w:val="20"/>
                <w:color w:val="auto"/>
              </w:rPr>
            </w:pPr>
            <w:r>
              <w:rPr>
                <w:rFonts w:ascii="Arial" w:cs="Arial" w:eastAsia="Arial" w:hAnsi="Arial"/>
                <w:sz w:val="14"/>
                <w:szCs w:val="14"/>
                <w:b w:val="1"/>
                <w:bCs w:val="1"/>
                <w:color w:val="auto"/>
                <w:w w:val="93"/>
              </w:rPr>
              <w:t>Total Shareholders’</w:t>
            </w:r>
          </w:p>
        </w:tc>
        <w:tc>
          <w:tcPr>
            <w:tcW w:w="0" w:type="dxa"/>
            <w:vAlign w:val="bottom"/>
          </w:tcPr>
          <w:p>
            <w:pPr>
              <w:spacing w:after="0"/>
              <w:rPr>
                <w:sz w:val="1"/>
                <w:szCs w:val="1"/>
                <w:color w:val="auto"/>
              </w:rPr>
            </w:pPr>
          </w:p>
        </w:tc>
      </w:tr>
      <w:tr>
        <w:trPr>
          <w:trHeight w:val="26"/>
        </w:trPr>
        <w:tc>
          <w:tcPr>
            <w:tcW w:w="25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vMerge w:val="continue"/>
          </w:tcPr>
          <w:p>
            <w:pPr>
              <w:spacing w:after="0"/>
              <w:rPr>
                <w:sz w:val="2"/>
                <w:szCs w:val="2"/>
                <w:color w:val="auto"/>
              </w:rPr>
            </w:pPr>
          </w:p>
        </w:tc>
        <w:tc>
          <w:tcPr>
            <w:tcW w:w="138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2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vMerge w:val="restart"/>
          </w:tcPr>
          <w:p>
            <w:pPr>
              <w:jc w:val="right"/>
              <w:ind w:right="220"/>
              <w:spacing w:after="0"/>
              <w:rPr>
                <w:sz w:val="20"/>
                <w:szCs w:val="20"/>
                <w:color w:val="auto"/>
              </w:rPr>
            </w:pPr>
            <w:r>
              <w:rPr>
                <w:rFonts w:ascii="Arial" w:cs="Arial" w:eastAsia="Arial" w:hAnsi="Arial"/>
                <w:sz w:val="14"/>
                <w:szCs w:val="14"/>
                <w:b w:val="1"/>
                <w:bCs w:val="1"/>
                <w:color w:val="auto"/>
              </w:rPr>
              <w:t>Shares</w:t>
            </w:r>
          </w:p>
        </w:tc>
        <w:tc>
          <w:tcPr>
            <w:tcW w:w="300" w:type="dxa"/>
            <w:vAlign w:val="bottom"/>
          </w:tcPr>
          <w:p>
            <w:pPr>
              <w:spacing w:after="0"/>
              <w:rPr>
                <w:sz w:val="2"/>
                <w:szCs w:val="2"/>
                <w:color w:val="auto"/>
              </w:rPr>
            </w:pPr>
          </w:p>
        </w:tc>
        <w:tc>
          <w:tcPr>
            <w:tcW w:w="10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Amount</w:t>
            </w:r>
          </w:p>
        </w:tc>
        <w:tc>
          <w:tcPr>
            <w:tcW w:w="1140" w:type="dxa"/>
            <w:vAlign w:val="bottom"/>
            <w:vMerge w:val="restart"/>
          </w:tcPr>
          <w:p>
            <w:pPr>
              <w:jc w:val="right"/>
              <w:ind w:right="300"/>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2"/>
                <w:szCs w:val="2"/>
                <w:color w:val="auto"/>
              </w:rPr>
            </w:pPr>
          </w:p>
        </w:tc>
        <w:tc>
          <w:tcPr>
            <w:tcW w:w="9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vMerge w:val="continue"/>
          </w:tcPr>
          <w:p>
            <w:pPr>
              <w:spacing w:after="0"/>
              <w:rPr>
                <w:sz w:val="2"/>
                <w:szCs w:val="2"/>
                <w:color w:val="auto"/>
              </w:rPr>
            </w:pPr>
          </w:p>
        </w:tc>
        <w:tc>
          <w:tcPr>
            <w:tcW w:w="13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500" w:type="dxa"/>
            <w:vAlign w:val="bottom"/>
            <w:tcBorders>
              <w:bottom w:val="single" w:sz="8" w:color="auto"/>
            </w:tcBorders>
            <w:vMerge w:val="continue"/>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vMerge w:val="continue"/>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6"/>
              </w:rPr>
              <w:t>Paid-in Capital</w:t>
            </w: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Earnings</w:t>
            </w: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20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December 31, 2022</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(34,044)</w:t>
            </w:r>
          </w:p>
        </w:tc>
        <w:tc>
          <w:tcPr>
            <w:tcW w:w="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(963,627)</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82,079</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41,039</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338,814</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1,154,235</w:t>
            </w:r>
          </w:p>
        </w:tc>
        <w:tc>
          <w:tcPr>
            <w:tcW w:w="36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570,461</w:t>
            </w:r>
          </w:p>
        </w:tc>
        <w:tc>
          <w:tcPr>
            <w:tcW w:w="0" w:type="dxa"/>
            <w:vAlign w:val="bottom"/>
          </w:tcPr>
          <w:p>
            <w:pPr>
              <w:spacing w:after="0"/>
              <w:rPr>
                <w:sz w:val="1"/>
                <w:szCs w:val="1"/>
                <w:color w:val="auto"/>
              </w:rPr>
            </w:pPr>
          </w:p>
        </w:tc>
      </w:tr>
      <w:tr>
        <w:trPr>
          <w:trHeight w:val="213"/>
        </w:trPr>
        <w:tc>
          <w:tcPr>
            <w:tcW w:w="250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5,460</w:t>
            </w:r>
          </w:p>
        </w:tc>
        <w:tc>
          <w:tcPr>
            <w:tcW w:w="240" w:type="dxa"/>
            <w:vAlign w:val="bottom"/>
          </w:tcPr>
          <w:p>
            <w:pPr>
              <w:spacing w:after="0"/>
              <w:rPr>
                <w:sz w:val="18"/>
                <w:szCs w:val="18"/>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5,460</w:t>
            </w:r>
          </w:p>
        </w:tc>
        <w:tc>
          <w:tcPr>
            <w:tcW w:w="0" w:type="dxa"/>
            <w:vAlign w:val="bottom"/>
          </w:tcPr>
          <w:p>
            <w:pPr>
              <w:spacing w:after="0"/>
              <w:rPr>
                <w:sz w:val="1"/>
                <w:szCs w:val="1"/>
                <w:color w:val="auto"/>
              </w:rPr>
            </w:pPr>
          </w:p>
        </w:tc>
      </w:tr>
      <w:tr>
        <w:trPr>
          <w:trHeight w:val="219"/>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Reissued Shares</w:t>
            </w: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166</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4,778</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(7,171)</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(2,393)</w:t>
            </w:r>
          </w:p>
        </w:tc>
        <w:tc>
          <w:tcPr>
            <w:tcW w:w="0" w:type="dxa"/>
            <w:vAlign w:val="bottom"/>
          </w:tcPr>
          <w:p>
            <w:pPr>
              <w:spacing w:after="0"/>
              <w:rPr>
                <w:sz w:val="1"/>
                <w:szCs w:val="1"/>
                <w:color w:val="auto"/>
              </w:rPr>
            </w:pPr>
          </w:p>
        </w:tc>
      </w:tr>
      <w:tr>
        <w:trPr>
          <w:trHeight w:val="213"/>
        </w:trPr>
        <w:tc>
          <w:tcPr>
            <w:tcW w:w="2500" w:type="dxa"/>
            <w:vAlign w:val="bottom"/>
          </w:tcPr>
          <w:p>
            <w:pPr>
              <w:ind w:left="20"/>
              <w:spacing w:after="0"/>
              <w:rPr>
                <w:sz w:val="20"/>
                <w:szCs w:val="20"/>
                <w:color w:val="auto"/>
              </w:rPr>
            </w:pPr>
            <w:r>
              <w:rPr>
                <w:rFonts w:ascii="Arial" w:cs="Arial" w:eastAsia="Arial" w:hAnsi="Arial"/>
                <w:sz w:val="16"/>
                <w:szCs w:val="16"/>
                <w:color w:val="auto"/>
              </w:rPr>
              <w:t>Repurchased Shares</w:t>
            </w:r>
          </w:p>
        </w:tc>
        <w:tc>
          <w:tcPr>
            <w:tcW w:w="980" w:type="dxa"/>
            <w:vAlign w:val="bottom"/>
          </w:tcPr>
          <w:p>
            <w:pPr>
              <w:jc w:val="right"/>
              <w:spacing w:after="0"/>
              <w:rPr>
                <w:sz w:val="20"/>
                <w:szCs w:val="20"/>
                <w:color w:val="auto"/>
              </w:rPr>
            </w:pPr>
            <w:r>
              <w:rPr>
                <w:rFonts w:ascii="Arial" w:cs="Arial" w:eastAsia="Arial" w:hAnsi="Arial"/>
                <w:sz w:val="16"/>
                <w:szCs w:val="16"/>
                <w:color w:val="auto"/>
              </w:rPr>
              <w:t>(1,459)</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(36,769)</w:t>
            </w:r>
          </w:p>
        </w:tc>
        <w:tc>
          <w:tcPr>
            <w:tcW w:w="80" w:type="dxa"/>
            <w:vAlign w:val="bottom"/>
          </w:tcPr>
          <w:p>
            <w:pPr>
              <w:spacing w:after="0"/>
              <w:rPr>
                <w:sz w:val="18"/>
                <w:szCs w:val="18"/>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(36,769)</w:t>
            </w:r>
          </w:p>
        </w:tc>
        <w:tc>
          <w:tcPr>
            <w:tcW w:w="0" w:type="dxa"/>
            <w:vAlign w:val="bottom"/>
          </w:tcPr>
          <w:p>
            <w:pPr>
              <w:spacing w:after="0"/>
              <w:rPr>
                <w:sz w:val="1"/>
                <w:szCs w:val="1"/>
                <w:color w:val="auto"/>
              </w:rPr>
            </w:pPr>
          </w:p>
        </w:tc>
      </w:tr>
      <w:tr>
        <w:trPr>
          <w:trHeight w:val="219"/>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Earnings</w:t>
            </w:r>
          </w:p>
        </w:tc>
        <w:tc>
          <w:tcPr>
            <w:tcW w:w="9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48,033</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48,033</w:t>
            </w:r>
          </w:p>
        </w:tc>
        <w:tc>
          <w:tcPr>
            <w:tcW w:w="0" w:type="dxa"/>
            <w:vAlign w:val="bottom"/>
          </w:tcPr>
          <w:p>
            <w:pPr>
              <w:spacing w:after="0"/>
              <w:rPr>
                <w:sz w:val="1"/>
                <w:szCs w:val="1"/>
                <w:color w:val="auto"/>
              </w:rPr>
            </w:pPr>
          </w:p>
        </w:tc>
      </w:tr>
      <w:tr>
        <w:trPr>
          <w:trHeight w:val="207"/>
        </w:trPr>
        <w:tc>
          <w:tcPr>
            <w:tcW w:w="2500" w:type="dxa"/>
            <w:vAlign w:val="bottom"/>
          </w:tcPr>
          <w:p>
            <w:pPr>
              <w:ind w:left="20"/>
              <w:spacing w:after="0"/>
              <w:rPr>
                <w:sz w:val="20"/>
                <w:szCs w:val="20"/>
                <w:color w:val="auto"/>
              </w:rPr>
            </w:pPr>
            <w:r>
              <w:rPr>
                <w:rFonts w:ascii="Arial" w:cs="Arial" w:eastAsia="Arial" w:hAnsi="Arial"/>
                <w:sz w:val="16"/>
                <w:szCs w:val="16"/>
                <w:color w:val="auto"/>
              </w:rPr>
              <w:t>Balance, March 31, 2023</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(35,337)</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(995,618)</w:t>
            </w:r>
          </w:p>
        </w:tc>
        <w:tc>
          <w:tcPr>
            <w:tcW w:w="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82,079</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41,039</w:t>
            </w: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337,103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1,202,268</w:t>
            </w:r>
          </w:p>
        </w:tc>
        <w:tc>
          <w:tcPr>
            <w:tcW w:w="36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584,792</w:t>
            </w:r>
          </w:p>
        </w:tc>
        <w:tc>
          <w:tcPr>
            <w:tcW w:w="0" w:type="dxa"/>
            <w:vAlign w:val="bottom"/>
          </w:tcPr>
          <w:p>
            <w:pPr>
              <w:spacing w:after="0"/>
              <w:rPr>
                <w:sz w:val="1"/>
                <w:szCs w:val="1"/>
                <w:color w:val="auto"/>
              </w:rPr>
            </w:pPr>
          </w:p>
        </w:tc>
      </w:tr>
      <w:tr>
        <w:trPr>
          <w:trHeight w:val="20"/>
        </w:trPr>
        <w:tc>
          <w:tcPr>
            <w:tcW w:w="25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6,886</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6,886</w:t>
            </w:r>
          </w:p>
        </w:tc>
        <w:tc>
          <w:tcPr>
            <w:tcW w:w="0" w:type="dxa"/>
            <w:vAlign w:val="bottom"/>
          </w:tcPr>
          <w:p>
            <w:pPr>
              <w:spacing w:after="0"/>
              <w:rPr>
                <w:sz w:val="1"/>
                <w:szCs w:val="1"/>
                <w:color w:val="auto"/>
              </w:rPr>
            </w:pPr>
          </w:p>
        </w:tc>
      </w:tr>
      <w:tr>
        <w:trPr>
          <w:trHeight w:val="213"/>
        </w:trPr>
        <w:tc>
          <w:tcPr>
            <w:tcW w:w="2500" w:type="dxa"/>
            <w:vAlign w:val="bottom"/>
          </w:tcPr>
          <w:p>
            <w:pPr>
              <w:ind w:left="20"/>
              <w:spacing w:after="0"/>
              <w:rPr>
                <w:sz w:val="20"/>
                <w:szCs w:val="20"/>
                <w:color w:val="auto"/>
              </w:rPr>
            </w:pPr>
            <w:r>
              <w:rPr>
                <w:rFonts w:ascii="Arial" w:cs="Arial" w:eastAsia="Arial" w:hAnsi="Arial"/>
                <w:sz w:val="16"/>
                <w:szCs w:val="16"/>
                <w:color w:val="auto"/>
              </w:rPr>
              <w:t>Reissued Shares</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52</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1,439</w:t>
            </w:r>
          </w:p>
        </w:tc>
        <w:tc>
          <w:tcPr>
            <w:tcW w:w="80" w:type="dxa"/>
            <w:vAlign w:val="bottom"/>
          </w:tcPr>
          <w:p>
            <w:pPr>
              <w:spacing w:after="0"/>
              <w:rPr>
                <w:sz w:val="18"/>
                <w:szCs w:val="18"/>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(973)</w:t>
            </w:r>
          </w:p>
        </w:tc>
        <w:tc>
          <w:tcPr>
            <w:tcW w:w="240" w:type="dxa"/>
            <w:vAlign w:val="bottom"/>
          </w:tcPr>
          <w:p>
            <w:pPr>
              <w:spacing w:after="0"/>
              <w:rPr>
                <w:sz w:val="18"/>
                <w:szCs w:val="18"/>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466</w:t>
            </w:r>
          </w:p>
        </w:tc>
        <w:tc>
          <w:tcPr>
            <w:tcW w:w="0" w:type="dxa"/>
            <w:vAlign w:val="bottom"/>
          </w:tcPr>
          <w:p>
            <w:pPr>
              <w:spacing w:after="0"/>
              <w:rPr>
                <w:sz w:val="1"/>
                <w:szCs w:val="1"/>
                <w:color w:val="auto"/>
              </w:rPr>
            </w:pPr>
          </w:p>
        </w:tc>
      </w:tr>
      <w:tr>
        <w:trPr>
          <w:trHeight w:val="219"/>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Repurchased Shares</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(1,083)</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(35,713)</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(35,713)</w:t>
            </w:r>
          </w:p>
        </w:tc>
        <w:tc>
          <w:tcPr>
            <w:tcW w:w="0" w:type="dxa"/>
            <w:vAlign w:val="bottom"/>
          </w:tcPr>
          <w:p>
            <w:pPr>
              <w:spacing w:after="0"/>
              <w:rPr>
                <w:sz w:val="1"/>
                <w:szCs w:val="1"/>
                <w:color w:val="auto"/>
              </w:rPr>
            </w:pPr>
          </w:p>
        </w:tc>
      </w:tr>
      <w:tr>
        <w:trPr>
          <w:trHeight w:val="213"/>
        </w:trPr>
        <w:tc>
          <w:tcPr>
            <w:tcW w:w="2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Earnings</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37,218</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37,218</w:t>
            </w:r>
          </w:p>
        </w:tc>
        <w:tc>
          <w:tcPr>
            <w:tcW w:w="0" w:type="dxa"/>
            <w:vAlign w:val="bottom"/>
          </w:tcPr>
          <w:p>
            <w:pPr>
              <w:spacing w:after="0"/>
              <w:rPr>
                <w:sz w:val="1"/>
                <w:szCs w:val="1"/>
                <w:color w:val="auto"/>
              </w:rPr>
            </w:pPr>
          </w:p>
        </w:tc>
      </w:tr>
      <w:tr>
        <w:trPr>
          <w:trHeight w:val="234"/>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June 30, 2023</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(36,368)</w:t>
            </w:r>
          </w:p>
        </w:tc>
        <w:tc>
          <w:tcPr>
            <w:tcW w:w="3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(1,029,892)</w:t>
            </w:r>
          </w:p>
        </w:tc>
        <w:tc>
          <w:tcPr>
            <w:tcW w:w="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82,079</w:t>
            </w:r>
          </w:p>
        </w:tc>
        <w:tc>
          <w:tcPr>
            <w:tcW w:w="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41,039</w:t>
            </w: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343,016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1,239,486</w:t>
            </w:r>
          </w:p>
        </w:tc>
        <w:tc>
          <w:tcPr>
            <w:tcW w:w="36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593,649</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Stock-Based Compensation</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500" w:type="dxa"/>
            <w:vAlign w:val="bottom"/>
            <w:vMerge w:val="continue"/>
          </w:tcPr>
          <w:p>
            <w:pPr>
              <w:spacing w:after="0"/>
              <w:rPr>
                <w:sz w:val="16"/>
                <w:szCs w:val="16"/>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6,889</w:t>
            </w:r>
          </w:p>
        </w:tc>
        <w:tc>
          <w:tcPr>
            <w:tcW w:w="24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6,889</w:t>
            </w:r>
          </w:p>
        </w:tc>
        <w:tc>
          <w:tcPr>
            <w:tcW w:w="0" w:type="dxa"/>
            <w:vAlign w:val="bottom"/>
          </w:tcPr>
          <w:p>
            <w:pPr>
              <w:spacing w:after="0"/>
              <w:rPr>
                <w:sz w:val="1"/>
                <w:szCs w:val="1"/>
                <w:color w:val="auto"/>
              </w:rPr>
            </w:pPr>
          </w:p>
        </w:tc>
      </w:tr>
      <w:tr>
        <w:trPr>
          <w:trHeight w:val="219"/>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Reissued Shares</w:t>
            </w: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57</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1,462</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(2,099)</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(637)</w:t>
            </w:r>
          </w:p>
        </w:tc>
        <w:tc>
          <w:tcPr>
            <w:tcW w:w="0" w:type="dxa"/>
            <w:vAlign w:val="bottom"/>
          </w:tcPr>
          <w:p>
            <w:pPr>
              <w:spacing w:after="0"/>
              <w:rPr>
                <w:sz w:val="1"/>
                <w:szCs w:val="1"/>
                <w:color w:val="auto"/>
              </w:rPr>
            </w:pPr>
          </w:p>
        </w:tc>
      </w:tr>
      <w:tr>
        <w:trPr>
          <w:trHeight w:val="213"/>
        </w:trPr>
        <w:tc>
          <w:tcPr>
            <w:tcW w:w="2500" w:type="dxa"/>
            <w:vAlign w:val="bottom"/>
          </w:tcPr>
          <w:p>
            <w:pPr>
              <w:ind w:left="20"/>
              <w:spacing w:after="0"/>
              <w:rPr>
                <w:sz w:val="20"/>
                <w:szCs w:val="20"/>
                <w:color w:val="auto"/>
              </w:rPr>
            </w:pPr>
            <w:r>
              <w:rPr>
                <w:rFonts w:ascii="Arial" w:cs="Arial" w:eastAsia="Arial" w:hAnsi="Arial"/>
                <w:sz w:val="16"/>
                <w:szCs w:val="16"/>
                <w:color w:val="auto"/>
              </w:rPr>
              <w:t>Repurchased Shares</w:t>
            </w:r>
          </w:p>
        </w:tc>
        <w:tc>
          <w:tcPr>
            <w:tcW w:w="980" w:type="dxa"/>
            <w:vAlign w:val="bottom"/>
          </w:tcPr>
          <w:p>
            <w:pPr>
              <w:jc w:val="right"/>
              <w:spacing w:after="0"/>
              <w:rPr>
                <w:sz w:val="20"/>
                <w:szCs w:val="20"/>
                <w:color w:val="auto"/>
              </w:rPr>
            </w:pPr>
            <w:r>
              <w:rPr>
                <w:rFonts w:ascii="Arial" w:cs="Arial" w:eastAsia="Arial" w:hAnsi="Arial"/>
                <w:sz w:val="16"/>
                <w:szCs w:val="16"/>
                <w:color w:val="auto"/>
              </w:rPr>
              <w:t>(1,045)</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(36,776)</w:t>
            </w:r>
          </w:p>
        </w:tc>
        <w:tc>
          <w:tcPr>
            <w:tcW w:w="80" w:type="dxa"/>
            <w:vAlign w:val="bottom"/>
          </w:tcPr>
          <w:p>
            <w:pPr>
              <w:spacing w:after="0"/>
              <w:rPr>
                <w:sz w:val="18"/>
                <w:szCs w:val="18"/>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(36,776)</w:t>
            </w:r>
          </w:p>
        </w:tc>
        <w:tc>
          <w:tcPr>
            <w:tcW w:w="0" w:type="dxa"/>
            <w:vAlign w:val="bottom"/>
          </w:tcPr>
          <w:p>
            <w:pPr>
              <w:spacing w:after="0"/>
              <w:rPr>
                <w:sz w:val="1"/>
                <w:szCs w:val="1"/>
                <w:color w:val="auto"/>
              </w:rPr>
            </w:pPr>
          </w:p>
        </w:tc>
      </w:tr>
      <w:tr>
        <w:trPr>
          <w:trHeight w:val="219"/>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Earnings</w:t>
            </w:r>
          </w:p>
        </w:tc>
        <w:tc>
          <w:tcPr>
            <w:tcW w:w="9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35,012</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35,012</w:t>
            </w:r>
          </w:p>
        </w:tc>
        <w:tc>
          <w:tcPr>
            <w:tcW w:w="0" w:type="dxa"/>
            <w:vAlign w:val="bottom"/>
          </w:tcPr>
          <w:p>
            <w:pPr>
              <w:spacing w:after="0"/>
              <w:rPr>
                <w:sz w:val="1"/>
                <w:szCs w:val="1"/>
                <w:color w:val="auto"/>
              </w:rPr>
            </w:pPr>
          </w:p>
        </w:tc>
      </w:tr>
      <w:tr>
        <w:trPr>
          <w:trHeight w:val="207"/>
        </w:trPr>
        <w:tc>
          <w:tcPr>
            <w:tcW w:w="2500" w:type="dxa"/>
            <w:vAlign w:val="bottom"/>
          </w:tcPr>
          <w:p>
            <w:pPr>
              <w:ind w:left="20"/>
              <w:spacing w:after="0"/>
              <w:rPr>
                <w:sz w:val="20"/>
                <w:szCs w:val="20"/>
                <w:color w:val="auto"/>
              </w:rPr>
            </w:pPr>
            <w:r>
              <w:rPr>
                <w:rFonts w:ascii="Arial" w:cs="Arial" w:eastAsia="Arial" w:hAnsi="Arial"/>
                <w:sz w:val="16"/>
                <w:szCs w:val="16"/>
                <w:color w:val="auto"/>
              </w:rPr>
              <w:t>Balance, September 30, 2023</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(37,356)</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(1,065,206)</w:t>
            </w:r>
          </w:p>
        </w:tc>
        <w:tc>
          <w:tcPr>
            <w:tcW w:w="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82,079</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41,039</w:t>
            </w: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347,806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1,274,498</w:t>
            </w:r>
          </w:p>
        </w:tc>
        <w:tc>
          <w:tcPr>
            <w:tcW w:w="36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598,137</w:t>
            </w:r>
          </w:p>
        </w:tc>
        <w:tc>
          <w:tcPr>
            <w:tcW w:w="0" w:type="dxa"/>
            <w:vAlign w:val="bottom"/>
          </w:tcPr>
          <w:p>
            <w:pPr>
              <w:spacing w:after="0"/>
              <w:rPr>
                <w:sz w:val="1"/>
                <w:szCs w:val="1"/>
                <w:color w:val="auto"/>
              </w:rPr>
            </w:pPr>
          </w:p>
        </w:tc>
      </w:tr>
      <w:tr>
        <w:trPr>
          <w:trHeight w:val="23"/>
        </w:trPr>
        <w:tc>
          <w:tcPr>
            <w:tcW w:w="2500" w:type="dxa"/>
            <w:vAlign w:val="bottom"/>
          </w:tcPr>
          <w:p>
            <w:pPr>
              <w:spacing w:after="0"/>
              <w:rPr>
                <w:sz w:val="2"/>
                <w:szCs w:val="2"/>
                <w:color w:val="auto"/>
              </w:rPr>
            </w:pPr>
          </w:p>
        </w:tc>
        <w:tc>
          <w:tcPr>
            <w:tcW w:w="228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2"/>
        </w:trPr>
        <w:tc>
          <w:tcPr>
            <w:tcW w:w="2500" w:type="dxa"/>
            <w:vAlign w:val="bottom"/>
          </w:tcPr>
          <w:p>
            <w:pPr>
              <w:spacing w:after="0"/>
              <w:rPr>
                <w:sz w:val="24"/>
                <w:szCs w:val="24"/>
                <w:color w:val="auto"/>
              </w:rPr>
            </w:pPr>
          </w:p>
        </w:tc>
        <w:tc>
          <w:tcPr>
            <w:tcW w:w="2360" w:type="dxa"/>
            <w:vAlign w:val="bottom"/>
            <w:gridSpan w:val="4"/>
          </w:tcPr>
          <w:p>
            <w:pPr>
              <w:ind w:left="680"/>
              <w:spacing w:after="0"/>
              <w:rPr>
                <w:sz w:val="20"/>
                <w:szCs w:val="20"/>
                <w:color w:val="auto"/>
              </w:rPr>
            </w:pPr>
            <w:r>
              <w:rPr>
                <w:rFonts w:ascii="Arial" w:cs="Arial" w:eastAsia="Arial" w:hAnsi="Arial"/>
                <w:sz w:val="14"/>
                <w:szCs w:val="14"/>
                <w:b w:val="1"/>
                <w:bCs w:val="1"/>
                <w:color w:val="auto"/>
              </w:rPr>
              <w:t>Treasury Stock</w:t>
            </w:r>
          </w:p>
        </w:tc>
        <w:tc>
          <w:tcPr>
            <w:tcW w:w="2380" w:type="dxa"/>
            <w:vAlign w:val="bottom"/>
            <w:gridSpan w:val="4"/>
          </w:tcPr>
          <w:p>
            <w:pPr>
              <w:ind w:left="700"/>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24"/>
                <w:szCs w:val="24"/>
                <w:color w:val="auto"/>
              </w:rPr>
            </w:pPr>
          </w:p>
        </w:tc>
        <w:tc>
          <w:tcPr>
            <w:tcW w:w="1200" w:type="dxa"/>
            <w:vAlign w:val="bottom"/>
            <w:vMerge w:val="restart"/>
          </w:tcPr>
          <w:p>
            <w:pPr>
              <w:jc w:val="center"/>
              <w:ind w:right="100"/>
              <w:spacing w:after="0"/>
              <w:rPr>
                <w:sz w:val="20"/>
                <w:szCs w:val="20"/>
                <w:color w:val="auto"/>
              </w:rPr>
            </w:pPr>
            <w:r>
              <w:rPr>
                <w:rFonts w:ascii="Arial" w:cs="Arial" w:eastAsia="Arial" w:hAnsi="Arial"/>
                <w:sz w:val="14"/>
                <w:szCs w:val="14"/>
                <w:b w:val="1"/>
                <w:bCs w:val="1"/>
                <w:color w:val="auto"/>
                <w:w w:val="96"/>
              </w:rPr>
              <w:t>Additional</w:t>
            </w:r>
          </w:p>
        </w:tc>
        <w:tc>
          <w:tcPr>
            <w:tcW w:w="240" w:type="dxa"/>
            <w:vAlign w:val="bottom"/>
          </w:tcPr>
          <w:p>
            <w:pPr>
              <w:spacing w:after="0"/>
              <w:rPr>
                <w:sz w:val="24"/>
                <w:szCs w:val="24"/>
                <w:color w:val="auto"/>
              </w:rPr>
            </w:pPr>
          </w:p>
        </w:tc>
        <w:tc>
          <w:tcPr>
            <w:tcW w:w="960" w:type="dxa"/>
            <w:vAlign w:val="bottom"/>
            <w:vMerge w:val="restart"/>
          </w:tcPr>
          <w:p>
            <w:pPr>
              <w:jc w:val="right"/>
              <w:ind w:right="220"/>
              <w:spacing w:after="0"/>
              <w:rPr>
                <w:sz w:val="20"/>
                <w:szCs w:val="20"/>
                <w:color w:val="auto"/>
              </w:rPr>
            </w:pPr>
            <w:r>
              <w:rPr>
                <w:rFonts w:ascii="Arial" w:cs="Arial" w:eastAsia="Arial" w:hAnsi="Arial"/>
                <w:sz w:val="14"/>
                <w:szCs w:val="14"/>
                <w:b w:val="1"/>
                <w:bCs w:val="1"/>
                <w:color w:val="auto"/>
              </w:rPr>
              <w:t>Retained</w:t>
            </w:r>
          </w:p>
        </w:tc>
        <w:tc>
          <w:tcPr>
            <w:tcW w:w="1380" w:type="dxa"/>
            <w:vAlign w:val="bottom"/>
            <w:gridSpan w:val="2"/>
            <w:vMerge w:val="restart"/>
          </w:tcPr>
          <w:p>
            <w:pPr>
              <w:jc w:val="center"/>
              <w:ind w:left="1"/>
              <w:spacing w:after="0"/>
              <w:rPr>
                <w:sz w:val="20"/>
                <w:szCs w:val="20"/>
                <w:color w:val="auto"/>
              </w:rPr>
            </w:pPr>
            <w:r>
              <w:rPr>
                <w:rFonts w:ascii="Arial" w:cs="Arial" w:eastAsia="Arial" w:hAnsi="Arial"/>
                <w:sz w:val="14"/>
                <w:szCs w:val="14"/>
                <w:b w:val="1"/>
                <w:bCs w:val="1"/>
                <w:color w:val="auto"/>
                <w:w w:val="93"/>
              </w:rPr>
              <w:t>Total Shareholders’</w:t>
            </w:r>
          </w:p>
        </w:tc>
        <w:tc>
          <w:tcPr>
            <w:tcW w:w="0" w:type="dxa"/>
            <w:vAlign w:val="bottom"/>
          </w:tcPr>
          <w:p>
            <w:pPr>
              <w:spacing w:after="0"/>
              <w:rPr>
                <w:sz w:val="1"/>
                <w:szCs w:val="1"/>
                <w:color w:val="auto"/>
              </w:rPr>
            </w:pPr>
          </w:p>
        </w:tc>
      </w:tr>
      <w:tr>
        <w:trPr>
          <w:trHeight w:val="25"/>
        </w:trPr>
        <w:tc>
          <w:tcPr>
            <w:tcW w:w="25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vMerge w:val="continue"/>
          </w:tcPr>
          <w:p>
            <w:pPr>
              <w:spacing w:after="0"/>
              <w:rPr>
                <w:sz w:val="2"/>
                <w:szCs w:val="2"/>
                <w:color w:val="auto"/>
              </w:rPr>
            </w:pPr>
          </w:p>
        </w:tc>
        <w:tc>
          <w:tcPr>
            <w:tcW w:w="138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8"/>
        </w:trPr>
        <w:tc>
          <w:tcPr>
            <w:tcW w:w="2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vMerge w:val="restart"/>
          </w:tcPr>
          <w:p>
            <w:pPr>
              <w:jc w:val="right"/>
              <w:ind w:right="220"/>
              <w:spacing w:after="0"/>
              <w:rPr>
                <w:sz w:val="20"/>
                <w:szCs w:val="20"/>
                <w:color w:val="auto"/>
              </w:rPr>
            </w:pPr>
            <w:r>
              <w:rPr>
                <w:rFonts w:ascii="Arial" w:cs="Arial" w:eastAsia="Arial" w:hAnsi="Arial"/>
                <w:sz w:val="14"/>
                <w:szCs w:val="14"/>
                <w:b w:val="1"/>
                <w:bCs w:val="1"/>
                <w:color w:val="auto"/>
              </w:rPr>
              <w:t>Shares</w:t>
            </w:r>
          </w:p>
        </w:tc>
        <w:tc>
          <w:tcPr>
            <w:tcW w:w="300" w:type="dxa"/>
            <w:vAlign w:val="bottom"/>
          </w:tcPr>
          <w:p>
            <w:pPr>
              <w:spacing w:after="0"/>
              <w:rPr>
                <w:sz w:val="3"/>
                <w:szCs w:val="3"/>
                <w:color w:val="auto"/>
              </w:rPr>
            </w:pPr>
          </w:p>
        </w:tc>
        <w:tc>
          <w:tcPr>
            <w:tcW w:w="10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Amount</w:t>
            </w:r>
          </w:p>
        </w:tc>
        <w:tc>
          <w:tcPr>
            <w:tcW w:w="1140" w:type="dxa"/>
            <w:vAlign w:val="bottom"/>
            <w:vMerge w:val="restart"/>
          </w:tcPr>
          <w:p>
            <w:pPr>
              <w:jc w:val="right"/>
              <w:ind w:right="300"/>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3"/>
                <w:szCs w:val="3"/>
                <w:color w:val="auto"/>
              </w:rPr>
            </w:pPr>
          </w:p>
        </w:tc>
        <w:tc>
          <w:tcPr>
            <w:tcW w:w="9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13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250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6"/>
              </w:rPr>
              <w:t>Paid-in Capital</w:t>
            </w: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Earnings</w:t>
            </w: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0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5"/>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December 31, 2021</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(25,638)</w:t>
            </w:r>
          </w:p>
        </w:tc>
        <w:tc>
          <w:tcPr>
            <w:tcW w:w="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(749,401)</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82,079</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41,039</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332,244</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1,055,526</w:t>
            </w:r>
          </w:p>
        </w:tc>
        <w:tc>
          <w:tcPr>
            <w:tcW w:w="36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679,408</w:t>
            </w:r>
          </w:p>
        </w:tc>
        <w:tc>
          <w:tcPr>
            <w:tcW w:w="0" w:type="dxa"/>
            <w:vAlign w:val="bottom"/>
          </w:tcPr>
          <w:p>
            <w:pPr>
              <w:spacing w:after="0"/>
              <w:rPr>
                <w:sz w:val="1"/>
                <w:szCs w:val="1"/>
                <w:color w:val="auto"/>
              </w:rPr>
            </w:pPr>
          </w:p>
        </w:tc>
      </w:tr>
      <w:tr>
        <w:trPr>
          <w:trHeight w:val="213"/>
        </w:trPr>
        <w:tc>
          <w:tcPr>
            <w:tcW w:w="250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6,587</w:t>
            </w:r>
          </w:p>
        </w:tc>
        <w:tc>
          <w:tcPr>
            <w:tcW w:w="240" w:type="dxa"/>
            <w:vAlign w:val="bottom"/>
          </w:tcPr>
          <w:p>
            <w:pPr>
              <w:spacing w:after="0"/>
              <w:rPr>
                <w:sz w:val="18"/>
                <w:szCs w:val="18"/>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6,587</w:t>
            </w:r>
          </w:p>
        </w:tc>
        <w:tc>
          <w:tcPr>
            <w:tcW w:w="0" w:type="dxa"/>
            <w:vAlign w:val="bottom"/>
          </w:tcPr>
          <w:p>
            <w:pPr>
              <w:spacing w:after="0"/>
              <w:rPr>
                <w:sz w:val="1"/>
                <w:szCs w:val="1"/>
                <w:color w:val="auto"/>
              </w:rPr>
            </w:pPr>
          </w:p>
        </w:tc>
      </w:tr>
      <w:tr>
        <w:trPr>
          <w:trHeight w:val="219"/>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Reissued Shares</w:t>
            </w: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177</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5,260</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(7,776)</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(2,516)</w:t>
            </w:r>
          </w:p>
        </w:tc>
        <w:tc>
          <w:tcPr>
            <w:tcW w:w="0" w:type="dxa"/>
            <w:vAlign w:val="bottom"/>
          </w:tcPr>
          <w:p>
            <w:pPr>
              <w:spacing w:after="0"/>
              <w:rPr>
                <w:sz w:val="1"/>
                <w:szCs w:val="1"/>
                <w:color w:val="auto"/>
              </w:rPr>
            </w:pPr>
          </w:p>
        </w:tc>
      </w:tr>
      <w:tr>
        <w:trPr>
          <w:trHeight w:val="213"/>
        </w:trPr>
        <w:tc>
          <w:tcPr>
            <w:tcW w:w="2500" w:type="dxa"/>
            <w:vAlign w:val="bottom"/>
          </w:tcPr>
          <w:p>
            <w:pPr>
              <w:ind w:left="20"/>
              <w:spacing w:after="0"/>
              <w:rPr>
                <w:sz w:val="20"/>
                <w:szCs w:val="20"/>
                <w:color w:val="auto"/>
              </w:rPr>
            </w:pPr>
            <w:r>
              <w:rPr>
                <w:rFonts w:ascii="Arial" w:cs="Arial" w:eastAsia="Arial" w:hAnsi="Arial"/>
                <w:sz w:val="16"/>
                <w:szCs w:val="16"/>
                <w:color w:val="auto"/>
              </w:rPr>
              <w:t>Repurchased Shares</w:t>
            </w:r>
          </w:p>
        </w:tc>
        <w:tc>
          <w:tcPr>
            <w:tcW w:w="980" w:type="dxa"/>
            <w:vAlign w:val="bottom"/>
          </w:tcPr>
          <w:p>
            <w:pPr>
              <w:jc w:val="right"/>
              <w:spacing w:after="0"/>
              <w:rPr>
                <w:sz w:val="20"/>
                <w:szCs w:val="20"/>
                <w:color w:val="auto"/>
              </w:rPr>
            </w:pPr>
            <w:r>
              <w:rPr>
                <w:rFonts w:ascii="Arial" w:cs="Arial" w:eastAsia="Arial" w:hAnsi="Arial"/>
                <w:sz w:val="16"/>
                <w:szCs w:val="16"/>
                <w:color w:val="auto"/>
              </w:rPr>
              <w:t>(2,200)</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(78,080)</w:t>
            </w:r>
          </w:p>
        </w:tc>
        <w:tc>
          <w:tcPr>
            <w:tcW w:w="80" w:type="dxa"/>
            <w:vAlign w:val="bottom"/>
          </w:tcPr>
          <w:p>
            <w:pPr>
              <w:spacing w:after="0"/>
              <w:rPr>
                <w:sz w:val="18"/>
                <w:szCs w:val="18"/>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(78,080)</w:t>
            </w:r>
          </w:p>
        </w:tc>
        <w:tc>
          <w:tcPr>
            <w:tcW w:w="0" w:type="dxa"/>
            <w:vAlign w:val="bottom"/>
          </w:tcPr>
          <w:p>
            <w:pPr>
              <w:spacing w:after="0"/>
              <w:rPr>
                <w:sz w:val="1"/>
                <w:szCs w:val="1"/>
                <w:color w:val="auto"/>
              </w:rPr>
            </w:pPr>
          </w:p>
        </w:tc>
      </w:tr>
      <w:tr>
        <w:trPr>
          <w:trHeight w:val="219"/>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Earnings</w:t>
            </w:r>
          </w:p>
        </w:tc>
        <w:tc>
          <w:tcPr>
            <w:tcW w:w="9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27,135</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27,135</w:t>
            </w:r>
          </w:p>
        </w:tc>
        <w:tc>
          <w:tcPr>
            <w:tcW w:w="0" w:type="dxa"/>
            <w:vAlign w:val="bottom"/>
          </w:tcPr>
          <w:p>
            <w:pPr>
              <w:spacing w:after="0"/>
              <w:rPr>
                <w:sz w:val="1"/>
                <w:szCs w:val="1"/>
                <w:color w:val="auto"/>
              </w:rPr>
            </w:pPr>
          </w:p>
        </w:tc>
      </w:tr>
      <w:tr>
        <w:trPr>
          <w:trHeight w:val="206"/>
        </w:trPr>
        <w:tc>
          <w:tcPr>
            <w:tcW w:w="2500" w:type="dxa"/>
            <w:vAlign w:val="bottom"/>
          </w:tcPr>
          <w:p>
            <w:pPr>
              <w:ind w:left="20"/>
              <w:spacing w:after="0"/>
              <w:rPr>
                <w:sz w:val="20"/>
                <w:szCs w:val="20"/>
                <w:color w:val="auto"/>
              </w:rPr>
            </w:pPr>
            <w:r>
              <w:rPr>
                <w:rFonts w:ascii="Arial" w:cs="Arial" w:eastAsia="Arial" w:hAnsi="Arial"/>
                <w:sz w:val="16"/>
                <w:szCs w:val="16"/>
                <w:color w:val="auto"/>
              </w:rPr>
              <w:t>Balance, March 31, 2022</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(27,661)</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(822,221)</w:t>
            </w:r>
          </w:p>
        </w:tc>
        <w:tc>
          <w:tcPr>
            <w:tcW w:w="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82,079</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41,039</w:t>
            </w: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331,055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1,082,661</w:t>
            </w:r>
          </w:p>
        </w:tc>
        <w:tc>
          <w:tcPr>
            <w:tcW w:w="36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632,534</w:t>
            </w:r>
          </w:p>
        </w:tc>
        <w:tc>
          <w:tcPr>
            <w:tcW w:w="0" w:type="dxa"/>
            <w:vAlign w:val="bottom"/>
          </w:tcPr>
          <w:p>
            <w:pPr>
              <w:spacing w:after="0"/>
              <w:rPr>
                <w:sz w:val="1"/>
                <w:szCs w:val="1"/>
                <w:color w:val="auto"/>
              </w:rPr>
            </w:pPr>
          </w:p>
        </w:tc>
      </w:tr>
      <w:tr>
        <w:trPr>
          <w:trHeight w:val="20"/>
        </w:trPr>
        <w:tc>
          <w:tcPr>
            <w:tcW w:w="25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2,484</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2,484</w:t>
            </w:r>
          </w:p>
        </w:tc>
        <w:tc>
          <w:tcPr>
            <w:tcW w:w="0" w:type="dxa"/>
            <w:vAlign w:val="bottom"/>
          </w:tcPr>
          <w:p>
            <w:pPr>
              <w:spacing w:after="0"/>
              <w:rPr>
                <w:sz w:val="1"/>
                <w:szCs w:val="1"/>
                <w:color w:val="auto"/>
              </w:rPr>
            </w:pPr>
          </w:p>
        </w:tc>
      </w:tr>
      <w:tr>
        <w:trPr>
          <w:trHeight w:val="213"/>
        </w:trPr>
        <w:tc>
          <w:tcPr>
            <w:tcW w:w="2500" w:type="dxa"/>
            <w:vAlign w:val="bottom"/>
          </w:tcPr>
          <w:p>
            <w:pPr>
              <w:ind w:left="20"/>
              <w:spacing w:after="0"/>
              <w:rPr>
                <w:sz w:val="20"/>
                <w:szCs w:val="20"/>
                <w:color w:val="auto"/>
              </w:rPr>
            </w:pPr>
            <w:r>
              <w:rPr>
                <w:rFonts w:ascii="Arial" w:cs="Arial" w:eastAsia="Arial" w:hAnsi="Arial"/>
                <w:sz w:val="16"/>
                <w:szCs w:val="16"/>
                <w:color w:val="auto"/>
              </w:rPr>
              <w:t>Reissued Shares</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47</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1,380</w:t>
            </w:r>
          </w:p>
        </w:tc>
        <w:tc>
          <w:tcPr>
            <w:tcW w:w="80" w:type="dxa"/>
            <w:vAlign w:val="bottom"/>
          </w:tcPr>
          <w:p>
            <w:pPr>
              <w:spacing w:after="0"/>
              <w:rPr>
                <w:sz w:val="18"/>
                <w:szCs w:val="18"/>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(716)</w:t>
            </w:r>
          </w:p>
        </w:tc>
        <w:tc>
          <w:tcPr>
            <w:tcW w:w="240" w:type="dxa"/>
            <w:vAlign w:val="bottom"/>
          </w:tcPr>
          <w:p>
            <w:pPr>
              <w:spacing w:after="0"/>
              <w:rPr>
                <w:sz w:val="18"/>
                <w:szCs w:val="18"/>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664</w:t>
            </w:r>
          </w:p>
        </w:tc>
        <w:tc>
          <w:tcPr>
            <w:tcW w:w="0" w:type="dxa"/>
            <w:vAlign w:val="bottom"/>
          </w:tcPr>
          <w:p>
            <w:pPr>
              <w:spacing w:after="0"/>
              <w:rPr>
                <w:sz w:val="1"/>
                <w:szCs w:val="1"/>
                <w:color w:val="auto"/>
              </w:rPr>
            </w:pPr>
          </w:p>
        </w:tc>
      </w:tr>
      <w:tr>
        <w:trPr>
          <w:trHeight w:val="219"/>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Repurchased Shares</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(3,899)</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(98,395)</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(98,395)</w:t>
            </w:r>
          </w:p>
        </w:tc>
        <w:tc>
          <w:tcPr>
            <w:tcW w:w="0" w:type="dxa"/>
            <w:vAlign w:val="bottom"/>
          </w:tcPr>
          <w:p>
            <w:pPr>
              <w:spacing w:after="0"/>
              <w:rPr>
                <w:sz w:val="1"/>
                <w:szCs w:val="1"/>
                <w:color w:val="auto"/>
              </w:rPr>
            </w:pPr>
          </w:p>
        </w:tc>
      </w:tr>
      <w:tr>
        <w:trPr>
          <w:trHeight w:val="213"/>
        </w:trPr>
        <w:tc>
          <w:tcPr>
            <w:tcW w:w="2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Earnings</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19,484</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19,484</w:t>
            </w:r>
          </w:p>
        </w:tc>
        <w:tc>
          <w:tcPr>
            <w:tcW w:w="0" w:type="dxa"/>
            <w:vAlign w:val="bottom"/>
          </w:tcPr>
          <w:p>
            <w:pPr>
              <w:spacing w:after="0"/>
              <w:rPr>
                <w:sz w:val="1"/>
                <w:szCs w:val="1"/>
                <w:color w:val="auto"/>
              </w:rPr>
            </w:pPr>
          </w:p>
        </w:tc>
      </w:tr>
      <w:tr>
        <w:trPr>
          <w:trHeight w:val="234"/>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June 30, 2022</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(31,513)</w:t>
            </w:r>
          </w:p>
        </w:tc>
        <w:tc>
          <w:tcPr>
            <w:tcW w:w="3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(919,236)</w:t>
            </w:r>
          </w:p>
        </w:tc>
        <w:tc>
          <w:tcPr>
            <w:tcW w:w="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82,079</w:t>
            </w:r>
          </w:p>
        </w:tc>
        <w:tc>
          <w:tcPr>
            <w:tcW w:w="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41,039</w:t>
            </w: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332,823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1,102,145</w:t>
            </w:r>
          </w:p>
        </w:tc>
        <w:tc>
          <w:tcPr>
            <w:tcW w:w="36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556,771</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Stock-Based Compensation</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gridSpan w:val="2"/>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500" w:type="dxa"/>
            <w:vAlign w:val="bottom"/>
            <w:vMerge w:val="continue"/>
          </w:tcPr>
          <w:p>
            <w:pPr>
              <w:spacing w:after="0"/>
              <w:rPr>
                <w:sz w:val="16"/>
                <w:szCs w:val="16"/>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4,960</w:t>
            </w:r>
          </w:p>
        </w:tc>
        <w:tc>
          <w:tcPr>
            <w:tcW w:w="24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4,960</w:t>
            </w:r>
          </w:p>
        </w:tc>
        <w:tc>
          <w:tcPr>
            <w:tcW w:w="0" w:type="dxa"/>
            <w:vAlign w:val="bottom"/>
          </w:tcPr>
          <w:p>
            <w:pPr>
              <w:spacing w:after="0"/>
              <w:rPr>
                <w:sz w:val="1"/>
                <w:szCs w:val="1"/>
                <w:color w:val="auto"/>
              </w:rPr>
            </w:pPr>
          </w:p>
        </w:tc>
      </w:tr>
      <w:tr>
        <w:trPr>
          <w:trHeight w:val="219"/>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Reissued Shares</w:t>
            </w: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56</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1,755</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(2,141)</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w:t>
            </w:r>
          </w:p>
        </w:tc>
        <w:tc>
          <w:tcPr>
            <w:tcW w:w="0" w:type="dxa"/>
            <w:vAlign w:val="bottom"/>
          </w:tcPr>
          <w:p>
            <w:pPr>
              <w:spacing w:after="0"/>
              <w:rPr>
                <w:sz w:val="1"/>
                <w:szCs w:val="1"/>
                <w:color w:val="auto"/>
              </w:rPr>
            </w:pPr>
          </w:p>
        </w:tc>
      </w:tr>
      <w:tr>
        <w:trPr>
          <w:trHeight w:val="213"/>
        </w:trPr>
        <w:tc>
          <w:tcPr>
            <w:tcW w:w="2500" w:type="dxa"/>
            <w:vAlign w:val="bottom"/>
          </w:tcPr>
          <w:p>
            <w:pPr>
              <w:ind w:left="20"/>
              <w:spacing w:after="0"/>
              <w:rPr>
                <w:sz w:val="20"/>
                <w:szCs w:val="20"/>
                <w:color w:val="auto"/>
              </w:rPr>
            </w:pPr>
            <w:r>
              <w:rPr>
                <w:rFonts w:ascii="Arial" w:cs="Arial" w:eastAsia="Arial" w:hAnsi="Arial"/>
                <w:sz w:val="16"/>
                <w:szCs w:val="16"/>
                <w:color w:val="auto"/>
              </w:rPr>
              <w:t>Repurchased Shares</w:t>
            </w:r>
          </w:p>
        </w:tc>
        <w:tc>
          <w:tcPr>
            <w:tcW w:w="980" w:type="dxa"/>
            <w:vAlign w:val="bottom"/>
          </w:tcPr>
          <w:p>
            <w:pPr>
              <w:jc w:val="right"/>
              <w:spacing w:after="0"/>
              <w:rPr>
                <w:sz w:val="20"/>
                <w:szCs w:val="20"/>
                <w:color w:val="auto"/>
              </w:rPr>
            </w:pPr>
            <w:r>
              <w:rPr>
                <w:rFonts w:ascii="Arial" w:cs="Arial" w:eastAsia="Arial" w:hAnsi="Arial"/>
                <w:sz w:val="16"/>
                <w:szCs w:val="16"/>
                <w:color w:val="auto"/>
              </w:rPr>
              <w:t>(589)</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(10,886)</w:t>
            </w:r>
          </w:p>
        </w:tc>
        <w:tc>
          <w:tcPr>
            <w:tcW w:w="80" w:type="dxa"/>
            <w:vAlign w:val="bottom"/>
          </w:tcPr>
          <w:p>
            <w:pPr>
              <w:spacing w:after="0"/>
              <w:rPr>
                <w:sz w:val="18"/>
                <w:szCs w:val="18"/>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(10,886)</w:t>
            </w:r>
          </w:p>
        </w:tc>
        <w:tc>
          <w:tcPr>
            <w:tcW w:w="0" w:type="dxa"/>
            <w:vAlign w:val="bottom"/>
          </w:tcPr>
          <w:p>
            <w:pPr>
              <w:spacing w:after="0"/>
              <w:rPr>
                <w:sz w:val="1"/>
                <w:szCs w:val="1"/>
                <w:color w:val="auto"/>
              </w:rPr>
            </w:pPr>
          </w:p>
        </w:tc>
      </w:tr>
      <w:tr>
        <w:trPr>
          <w:trHeight w:val="219"/>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Earnings</w:t>
            </w:r>
          </w:p>
        </w:tc>
        <w:tc>
          <w:tcPr>
            <w:tcW w:w="9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16,005</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16,005</w:t>
            </w:r>
          </w:p>
        </w:tc>
        <w:tc>
          <w:tcPr>
            <w:tcW w:w="0" w:type="dxa"/>
            <w:vAlign w:val="bottom"/>
          </w:tcPr>
          <w:p>
            <w:pPr>
              <w:spacing w:after="0"/>
              <w:rPr>
                <w:sz w:val="1"/>
                <w:szCs w:val="1"/>
                <w:color w:val="auto"/>
              </w:rPr>
            </w:pPr>
          </w:p>
        </w:tc>
      </w:tr>
      <w:tr>
        <w:trPr>
          <w:trHeight w:val="207"/>
        </w:trPr>
        <w:tc>
          <w:tcPr>
            <w:tcW w:w="2500" w:type="dxa"/>
            <w:vAlign w:val="bottom"/>
          </w:tcPr>
          <w:p>
            <w:pPr>
              <w:ind w:left="20"/>
              <w:spacing w:after="0"/>
              <w:rPr>
                <w:sz w:val="20"/>
                <w:szCs w:val="20"/>
                <w:color w:val="auto"/>
              </w:rPr>
            </w:pPr>
            <w:r>
              <w:rPr>
                <w:rFonts w:ascii="Arial" w:cs="Arial" w:eastAsia="Arial" w:hAnsi="Arial"/>
                <w:sz w:val="16"/>
                <w:szCs w:val="16"/>
                <w:color w:val="auto"/>
              </w:rPr>
              <w:t>Balance, September 30, 2022</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(32,046)</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(928,367)</w:t>
            </w:r>
          </w:p>
        </w:tc>
        <w:tc>
          <w:tcPr>
            <w:tcW w:w="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82,079</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41,039</w:t>
            </w: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335,642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1,118,150</w:t>
            </w:r>
          </w:p>
        </w:tc>
        <w:tc>
          <w:tcPr>
            <w:tcW w:w="36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566,464</w:t>
            </w:r>
          </w:p>
        </w:tc>
        <w:tc>
          <w:tcPr>
            <w:tcW w:w="0" w:type="dxa"/>
            <w:vAlign w:val="bottom"/>
          </w:tcPr>
          <w:p>
            <w:pPr>
              <w:spacing w:after="0"/>
              <w:rPr>
                <w:sz w:val="1"/>
                <w:szCs w:val="1"/>
                <w:color w:val="auto"/>
              </w:rPr>
            </w:pPr>
          </w:p>
        </w:tc>
      </w:tr>
      <w:tr>
        <w:trPr>
          <w:trHeight w:val="23"/>
        </w:trPr>
        <w:tc>
          <w:tcPr>
            <w:tcW w:w="25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0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During the nine months ended September 30, 2023, the Company issued 551,792 restricted stock units, 207,838 stock options, and 357,575 performance share units to certain employees, which vest over one to three-year periods for certain units and upon the achievement of specified performance conditions for other units. The weighted average fair value of the restricted stock and performance share awards was $25.58, which was based on the fair market value of the Company’s common stock on the dates of grant. The weighted average fair value of the stock option awards was $11.66, which was based on a grant date value using a Black-Scholes-Merton option pricing model. The Company will recognize the grant date fair value of the restricted stock units and stock options as stock-based compensation expense over the requisite service period of one to three years. The Company will recognize the grant date fair value of the performance units as stock-based compensation expense over the estimated vesting period based on the Company's projected assessment of the performance conditions that are probable of being achieved in accordance with ASC 718, </w:t>
      </w:r>
      <w:r>
        <w:rPr>
          <w:rFonts w:ascii="Arial" w:cs="Arial" w:eastAsia="Arial" w:hAnsi="Arial"/>
          <w:sz w:val="16"/>
          <w:szCs w:val="16"/>
          <w:i w:val="1"/>
          <w:iCs w:val="1"/>
          <w:color w:val="auto"/>
        </w:rPr>
        <w:t>Stock-based Compensation</w:t>
      </w:r>
      <w:r>
        <w:rPr>
          <w:rFonts w:ascii="Arial" w:cs="Arial" w:eastAsia="Arial" w:hAnsi="Arial"/>
          <w:sz w:val="16"/>
          <w:szCs w:val="16"/>
          <w:color w:val="auto"/>
        </w:rPr>
        <w: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Cybersecurity Incident</w:t>
      </w:r>
    </w:p>
    <w:p>
      <w:pPr>
        <w:spacing w:after="0" w:line="90"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As previously disclosed by the Company on September 21, 2023, Progressive Leasing recently experienced a cybersecurity incident affecting certain data and IT systems of Progressive Leasing. Promptly after detecting the incident, the Company engaged third-party cybersecurity experts and took immediate steps to respond to, remediate and investigate the incident. Law enforcement was also notified. While the Company's investigation into the incident, including identification of the data involved, remains ongoing, at this time, we believe the incident has been contained and there is no ongoing operational impact on our ability to provide our products and services. We maintain insurance, including coverage for cyber-attacks, subject to certain deductibles and policy limitations, in an amount that we believe appropriate. See Item 1A. Risk Factors for a discussion regarding our cybersecurity risks.</w:t>
      </w:r>
    </w:p>
    <w:p>
      <w:pPr>
        <w:spacing w:after="0" w:line="43"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During the three and nine months ended September 30, 2023, the Company incurred $1.8 million for actual and anticipated costs related to the cybersecurity incident. These costs related primarily to third-party legal and consulting services, and credit monitoring services for Progressive Leasing's customers and employees that were impacted, and are included within professional services expense as a component of operating expenses in the condensed consolidated statements of earnings. The full scope of the costs and related impacts of this incident, including the extent to which these costs will be offset by the Company’s cybersecurity insurance, has not been determined. Although the Company is unable to predict the full impact of this incident, the Company does not currently expect that it will have a material effect on the Company’s financial condition and results of operations.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10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To increase the comparability of fair value measures, the following hierarchy prioritizes the inputs to valuation methodologies used to measure fair value:</w:t>
      </w:r>
    </w:p>
    <w:p>
      <w:pPr>
        <w:spacing w:after="0" w:line="4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Level 1—Valuations based on quoted prices for identical assets and liabilities in active markets.</w:t>
      </w:r>
    </w:p>
    <w:p>
      <w:pPr>
        <w:spacing w:after="0" w:line="104" w:lineRule="exact"/>
        <w:rPr>
          <w:sz w:val="20"/>
          <w:szCs w:val="20"/>
          <w:color w:val="auto"/>
        </w:rPr>
      </w:pPr>
    </w:p>
    <w:p>
      <w:pPr>
        <w:ind w:left="900" w:right="340"/>
        <w:spacing w:after="0" w:line="263" w:lineRule="auto"/>
        <w:rPr>
          <w:sz w:val="20"/>
          <w:szCs w:val="20"/>
          <w:color w:val="auto"/>
        </w:rPr>
      </w:pPr>
      <w:r>
        <w:rPr>
          <w:rFonts w:ascii="Arial" w:cs="Arial" w:eastAsia="Arial" w:hAnsi="Arial"/>
          <w:sz w:val="18"/>
          <w:szCs w:val="18"/>
          <w:color w:val="auto"/>
        </w:rPr>
        <w:t>Level 2—Valuations based on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62" w:lineRule="exact"/>
        <w:rPr>
          <w:sz w:val="20"/>
          <w:szCs w:val="20"/>
          <w:color w:val="auto"/>
        </w:rPr>
      </w:pPr>
    </w:p>
    <w:p>
      <w:pPr>
        <w:ind w:left="900" w:right="840"/>
        <w:spacing w:after="0" w:line="277" w:lineRule="auto"/>
        <w:rPr>
          <w:sz w:val="20"/>
          <w:szCs w:val="20"/>
          <w:color w:val="auto"/>
        </w:rPr>
      </w:pPr>
      <w:r>
        <w:rPr>
          <w:rFonts w:ascii="Arial" w:cs="Arial" w:eastAsia="Arial" w:hAnsi="Arial"/>
          <w:sz w:val="18"/>
          <w:szCs w:val="18"/>
          <w:color w:val="auto"/>
        </w:rPr>
        <w:t>Level 3—Valuations based on unobservable inputs reflecting the Company's own assumptions, consistent with reasonably available assumptions made by other market participants. These valuations require significant judgment.</w:t>
      </w:r>
    </w:p>
    <w:p>
      <w:pPr>
        <w:spacing w:after="0" w:line="35"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The Company measures a liability related to its non-qualified deferred compensation plan, which represents benefits accrued for plan participants and is valued at the quoted market prices of the participants' investment election, at fair value on a recurring basis. The Company maintains certain financial assets and liabilities that are not measured at fair value but for which fair value is disclosed.</w:t>
      </w:r>
    </w:p>
    <w:p>
      <w:pPr>
        <w:spacing w:after="0" w:line="6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fair values of the Company's other current financial assets and liabilities, including cash and cash equivalents, accounts receivable and accounts payable, approximate their carrying values due to their short-term nature. The fair value of any revolving credit borrowings also approximate their carrying amounts.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There have been no recent accounting pronouncements issued which are expected to have a material effect on the Company's financial statements.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Management continues to monitor and review recently issued accounting guidance upon issuance.</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FAIR VALUE MEASUREMENT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Assets and Liabilities Measured at Fair Value on a Recurring Basis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financial liabilities measured at fair value on a recurring basis: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6"/>
                <w:szCs w:val="16"/>
                <w:color w:val="auto"/>
              </w:rPr>
            </w:pPr>
          </w:p>
        </w:tc>
        <w:tc>
          <w:tcPr>
            <w:tcW w:w="1660" w:type="dxa"/>
            <w:vAlign w:val="bottom"/>
            <w:gridSpan w:val="2"/>
          </w:tcPr>
          <w:p>
            <w:pPr>
              <w:jc w:val="center"/>
              <w:ind w:left="279"/>
              <w:spacing w:after="0"/>
              <w:rPr>
                <w:sz w:val="20"/>
                <w:szCs w:val="20"/>
                <w:color w:val="auto"/>
              </w:rPr>
            </w:pPr>
            <w:r>
              <w:rPr>
                <w:rFonts w:ascii="Arial" w:cs="Arial" w:eastAsia="Arial" w:hAnsi="Arial"/>
                <w:sz w:val="14"/>
                <w:szCs w:val="14"/>
                <w:b w:val="1"/>
                <w:bCs w:val="1"/>
                <w:color w:val="auto"/>
                <w:w w:val="93"/>
              </w:rPr>
              <w:t>September 30, 2023</w:t>
            </w: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w w:val="96"/>
              </w:rPr>
              <w:t>December 31, 2022</w:t>
            </w: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6"/>
        </w:trPr>
        <w:tc>
          <w:tcPr>
            <w:tcW w:w="3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9"/>
        </w:trPr>
        <w:tc>
          <w:tcPr>
            <w:tcW w:w="35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6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19"/>
              <w:spacing w:after="0"/>
              <w:rPr>
                <w:sz w:val="20"/>
                <w:szCs w:val="20"/>
                <w:color w:val="auto"/>
              </w:rPr>
            </w:pPr>
            <w:r>
              <w:rPr>
                <w:rFonts w:ascii="Arial" w:cs="Arial" w:eastAsia="Arial" w:hAnsi="Arial"/>
                <w:sz w:val="14"/>
                <w:szCs w:val="14"/>
                <w:b w:val="1"/>
                <w:bCs w:val="1"/>
                <w:color w:val="auto"/>
                <w:w w:val="92"/>
              </w:rPr>
              <w:t>Level 2</w:t>
            </w: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Level 3</w:t>
            </w:r>
          </w:p>
        </w:tc>
        <w:tc>
          <w:tcPr>
            <w:tcW w:w="9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Level 1</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Level 2</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Level 3</w:t>
            </w:r>
          </w:p>
        </w:tc>
      </w:tr>
      <w:tr>
        <w:trPr>
          <w:trHeight w:val="230"/>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Compensation Liability</w:t>
            </w:r>
          </w:p>
        </w:tc>
        <w:tc>
          <w:tcPr>
            <w:tcW w:w="88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w:t>
            </w: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2,229</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  $</w:t>
            </w:r>
          </w:p>
        </w:tc>
        <w:tc>
          <w:tcPr>
            <w:tcW w:w="9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2,185</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r>
    </w:tbl>
    <w:p>
      <w:pPr>
        <w:spacing w:after="0" w:line="175"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The Company maintains the PROG Holdings, Inc. Deferred Compensation Plan, which is an unfunded, nonqualified deferred compensation plan for a select group of management, highly compensated employees and non-employee directors. The liability is recorded in accounts payable and accrued expenses in the condensed consolidated balance sheets. The liability represents benefits accrued for plan participants and is valued at the quoted market prices of the participants’ investment elections, which consist of equity and debt "mirror" funds. As such, the Company has classified the deferred compensation liability as a Level 2 liability.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Assets and Liabilities Not Measured at Fair Value for Which Fair Value is Disclosed</w:t>
      </w:r>
    </w:p>
    <w:p>
      <w:pPr>
        <w:spacing w:after="0" w:line="9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Vive's loans receivable are measured at amortized cost, net of an allowance for loan losses and unamortized fees in the condensed consolidated balance sheets. In estimating fair value for Vive's loans receivable, the Company utilized a discounted cash flow methodology. The Company used various unobservable inputs reflecting its own assumptions, such as contractual future principal and interest cash flows, future loss rates, and discount rates (which consider current interest rates and are adjusted for credit risk, among other factors).</w:t>
      </w:r>
    </w:p>
    <w:p>
      <w:pPr>
        <w:spacing w:after="0" w:line="6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Four's loans receivable, net of an allowance for loan losses and unamortized fees, are included within loans receivable, net in the condensed consolidated balance sheets and approximated fair value based on a discounted cash flow methodology.</w:t>
      </w:r>
    </w:p>
    <w:p>
      <w:pPr>
        <w:spacing w:after="0" w:line="4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November 26, 2021, the Company entered into an indenture in connection with its offering of $600 million aggregate principal amount of its Senior Notes due in 2029. The Senior Notes are carried at amortized cost in the condensed consolidated balance sheets and are measured at fair value for disclosure purposes. The fair value of the Senior Notes was estimated based on quoted market prices in less active markets and has been classified as Level 2 in the fair value hierarchy.</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fair value of the Company's debt and the loans receivable held by Vive and Four:</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September 30, 2023</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w w:val="95"/>
              </w:rPr>
              <w:t>December 31, 2022</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5"/>
        </w:trPr>
        <w:tc>
          <w:tcPr>
            <w:tcW w:w="3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354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3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Level 2</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Level 3</w:t>
            </w: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Level 1</w:t>
            </w: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Level 2</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Level 3</w:t>
            </w:r>
          </w:p>
        </w:tc>
      </w:tr>
      <w:tr>
        <w:trPr>
          <w:trHeight w:val="229"/>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w:t>
            </w:r>
          </w:p>
        </w:tc>
        <w:tc>
          <w:tcPr>
            <w:tcW w:w="88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524,700</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481,320</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540" w:type="dxa"/>
            <w:vAlign w:val="bottom"/>
          </w:tcPr>
          <w:p>
            <w:pPr>
              <w:ind w:left="20"/>
              <w:spacing w:after="0"/>
              <w:rPr>
                <w:sz w:val="20"/>
                <w:szCs w:val="20"/>
                <w:color w:val="auto"/>
              </w:rPr>
            </w:pPr>
            <w:r>
              <w:rPr>
                <w:rFonts w:ascii="Arial" w:cs="Arial" w:eastAsia="Arial" w:hAnsi="Arial"/>
                <w:sz w:val="18"/>
                <w:szCs w:val="18"/>
                <w:color w:val="auto"/>
              </w:rPr>
              <w:t>Loans Receivable, Net</w:t>
            </w:r>
          </w:p>
        </w:tc>
        <w:tc>
          <w:tcPr>
            <w:tcW w:w="880" w:type="dxa"/>
            <w:vAlign w:val="bottom"/>
          </w:tcPr>
          <w:p>
            <w:pPr>
              <w:jc w:val="right"/>
              <w:ind w:right="676"/>
              <w:spacing w:after="0"/>
              <w:rPr>
                <w:sz w:val="20"/>
                <w:szCs w:val="20"/>
                <w:color w:val="auto"/>
              </w:rPr>
            </w:pPr>
            <w:r>
              <w:rPr>
                <w:rFonts w:ascii="Arial" w:cs="Arial" w:eastAsia="Arial" w:hAnsi="Arial"/>
                <w:sz w:val="18"/>
                <w:szCs w:val="18"/>
                <w:color w:val="auto"/>
                <w:w w:val="99"/>
              </w:rPr>
              <w:t>$</w:t>
            </w: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145,270</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ind w:left="680"/>
              <w:spacing w:after="0"/>
              <w:rPr>
                <w:sz w:val="20"/>
                <w:szCs w:val="20"/>
                <w:color w:val="auto"/>
              </w:rPr>
            </w:pPr>
            <w:r>
              <w:rPr>
                <w:rFonts w:ascii="Arial" w:cs="Arial" w:eastAsia="Arial" w:hAnsi="Arial"/>
                <w:sz w:val="18"/>
                <w:szCs w:val="18"/>
                <w:color w:val="auto"/>
              </w:rPr>
              <w:t>—</w:t>
            </w:r>
          </w:p>
        </w:tc>
        <w:tc>
          <w:tcPr>
            <w:tcW w:w="340" w:type="dxa"/>
            <w:vAlign w:val="bottom"/>
          </w:tcPr>
          <w:p>
            <w:pPr>
              <w:ind w:lef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165,690</w:t>
            </w:r>
          </w:p>
        </w:tc>
      </w:tr>
      <w:tr>
        <w:trPr>
          <w:trHeight w:val="904"/>
        </w:trPr>
        <w:tc>
          <w:tcPr>
            <w:tcW w:w="3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ind w:right="295"/>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15"/>
        </w:trPr>
        <w:tc>
          <w:tcPr>
            <w:tcW w:w="35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LOANS RECEIVABLE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Company’s loans receivable, net: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6"/>
                <w:szCs w:val="16"/>
                <w:color w:val="auto"/>
              </w:rPr>
            </w:pPr>
          </w:p>
        </w:tc>
        <w:tc>
          <w:tcPr>
            <w:tcW w:w="1540" w:type="dxa"/>
            <w:vAlign w:val="bottom"/>
          </w:tcPr>
          <w:p>
            <w:pPr>
              <w:jc w:val="right"/>
              <w:ind w:right="193"/>
              <w:spacing w:after="0"/>
              <w:rPr>
                <w:sz w:val="20"/>
                <w:szCs w:val="20"/>
                <w:color w:val="auto"/>
              </w:rPr>
            </w:pPr>
            <w:r>
              <w:rPr>
                <w:rFonts w:ascii="Arial" w:cs="Arial" w:eastAsia="Arial" w:hAnsi="Arial"/>
                <w:sz w:val="14"/>
                <w:szCs w:val="14"/>
                <w:b w:val="1"/>
                <w:bCs w:val="1"/>
                <w:color w:val="auto"/>
                <w:w w:val="94"/>
              </w:rPr>
              <w:t>September 30, 2023</w:t>
            </w:r>
          </w:p>
        </w:tc>
        <w:tc>
          <w:tcPr>
            <w:tcW w:w="220" w:type="dxa"/>
            <w:vAlign w:val="bottom"/>
          </w:tcPr>
          <w:p>
            <w:pPr>
              <w:spacing w:after="0"/>
              <w:rPr>
                <w:sz w:val="16"/>
                <w:szCs w:val="16"/>
                <w:color w:val="auto"/>
              </w:rPr>
            </w:pPr>
          </w:p>
        </w:tc>
        <w:tc>
          <w:tcPr>
            <w:tcW w:w="1480" w:type="dxa"/>
            <w:vAlign w:val="bottom"/>
          </w:tcPr>
          <w:p>
            <w:pPr>
              <w:ind w:left="80"/>
              <w:spacing w:after="0"/>
              <w:rPr>
                <w:sz w:val="20"/>
                <w:szCs w:val="20"/>
                <w:color w:val="auto"/>
              </w:rPr>
            </w:pPr>
            <w:r>
              <w:rPr>
                <w:rFonts w:ascii="Arial" w:cs="Arial" w:eastAsia="Arial" w:hAnsi="Arial"/>
                <w:sz w:val="14"/>
                <w:szCs w:val="14"/>
                <w:b w:val="1"/>
                <w:bCs w:val="1"/>
                <w:color w:val="auto"/>
              </w:rPr>
              <w:t>December 31, 2022</w:t>
            </w:r>
          </w:p>
        </w:tc>
      </w:tr>
      <w:tr>
        <w:trPr>
          <w:trHeight w:val="26"/>
        </w:trPr>
        <w:tc>
          <w:tcPr>
            <w:tcW w:w="7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Loans Receivable, Gross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169,683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8"/>
              </w:rPr>
              <w:t>184,601</w:t>
            </w:r>
          </w:p>
        </w:tc>
      </w:tr>
      <w:tr>
        <w:trPr>
          <w:trHeight w:val="229"/>
        </w:trPr>
        <w:tc>
          <w:tcPr>
            <w:tcW w:w="78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Unamortized Fees</w:t>
            </w: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(9,565)</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w w:val="92"/>
              </w:rPr>
              <w:t>(11,207)</w:t>
            </w:r>
          </w:p>
        </w:tc>
      </w:tr>
      <w:tr>
        <w:trPr>
          <w:trHeight w:val="223"/>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Loans Receivable, Amortized Cost</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160,118</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8"/>
              </w:rPr>
              <w:t>173,394</w:t>
            </w:r>
          </w:p>
        </w:tc>
      </w:tr>
      <w:tr>
        <w:trPr>
          <w:trHeight w:val="229"/>
        </w:trPr>
        <w:tc>
          <w:tcPr>
            <w:tcW w:w="78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Allowance for Loan Losses</w:t>
            </w: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(40,189)</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w w:val="92"/>
              </w:rPr>
              <w:t>(42,428)</w:t>
            </w:r>
          </w:p>
        </w:tc>
      </w:tr>
      <w:tr>
        <w:trPr>
          <w:trHeight w:val="248"/>
        </w:trPr>
        <w:tc>
          <w:tcPr>
            <w:tcW w:w="784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Loans Receivable, Net of Allowances and Unamortized Fees</w:t>
            </w:r>
            <w:r>
              <w:rPr>
                <w:rFonts w:ascii="Arial" w:cs="Arial" w:eastAsia="Arial" w:hAnsi="Arial"/>
                <w:sz w:val="23"/>
                <w:szCs w:val="23"/>
                <w:color w:val="auto"/>
                <w:vertAlign w:val="superscript"/>
              </w:rPr>
              <w:t>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119,929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98"/>
              </w:rPr>
              <w:t>130,966</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80" w:hanging="72"/>
        <w:spacing w:after="0"/>
        <w:tabs>
          <w:tab w:leader="none" w:pos="80" w:val="left"/>
        </w:tabs>
        <w:numPr>
          <w:ilvl w:val="0"/>
          <w:numId w:val="4"/>
        </w:numPr>
        <w:rPr>
          <w:rFonts w:ascii="Arial" w:cs="Arial" w:eastAsia="Arial" w:hAnsi="Arial"/>
          <w:sz w:val="19"/>
          <w:szCs w:val="19"/>
          <w:color w:val="auto"/>
          <w:vertAlign w:val="superscript"/>
        </w:rPr>
      </w:pPr>
      <w:r>
        <w:rPr>
          <w:rFonts w:ascii="Arial" w:cs="Arial" w:eastAsia="Arial" w:hAnsi="Arial"/>
          <w:sz w:val="14"/>
          <w:szCs w:val="14"/>
          <w:color w:val="auto"/>
        </w:rPr>
        <w:t>Loans Receivable, Net of Allowances and Unamortized Fees, attributable to Four was $3.8 million and $5.3 million as of September 30, 2023 and December 31, 2022, respectively.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credit quality indicators of the amortized cost of the Company's loans receivable by origination year:</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5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5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 of September 30, 2023</w:t>
            </w:r>
          </w:p>
        </w:tc>
        <w:tc>
          <w:tcPr>
            <w:tcW w:w="240" w:type="dxa"/>
            <w:vAlign w:val="bottom"/>
          </w:tcPr>
          <w:p>
            <w:pPr>
              <w:spacing w:after="0"/>
              <w:rPr>
                <w:sz w:val="13"/>
                <w:szCs w:val="13"/>
                <w:color w:val="auto"/>
              </w:rPr>
            </w:pPr>
          </w:p>
        </w:tc>
        <w:tc>
          <w:tcPr>
            <w:tcW w:w="90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3"/>
                <w:szCs w:val="13"/>
                <w:color w:val="auto"/>
              </w:rPr>
            </w:pPr>
          </w:p>
        </w:tc>
        <w:tc>
          <w:tcPr>
            <w:tcW w:w="62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3"/>
                <w:szCs w:val="13"/>
                <w:color w:val="auto"/>
              </w:rPr>
            </w:pPr>
          </w:p>
        </w:tc>
        <w:tc>
          <w:tcPr>
            <w:tcW w:w="11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w w:val="95"/>
              </w:rPr>
              <w:t>2021 and Prior</w:t>
            </w:r>
          </w:p>
        </w:tc>
        <w:tc>
          <w:tcPr>
            <w:tcW w:w="1200" w:type="dxa"/>
            <w:vAlign w:val="bottom"/>
            <w:gridSpan w:val="2"/>
          </w:tcPr>
          <w:p>
            <w:pPr>
              <w:jc w:val="center"/>
              <w:ind w:left="12"/>
              <w:spacing w:after="0"/>
              <w:rPr>
                <w:sz w:val="20"/>
                <w:szCs w:val="20"/>
                <w:color w:val="auto"/>
              </w:rPr>
            </w:pPr>
            <w:r>
              <w:rPr>
                <w:rFonts w:ascii="Arial" w:cs="Arial" w:eastAsia="Arial" w:hAnsi="Arial"/>
                <w:sz w:val="14"/>
                <w:szCs w:val="14"/>
                <w:b w:val="1"/>
                <w:bCs w:val="1"/>
                <w:color w:val="auto"/>
                <w:w w:val="92"/>
              </w:rPr>
              <w:t>Revolving</w:t>
            </w:r>
          </w:p>
        </w:tc>
        <w:tc>
          <w:tcPr>
            <w:tcW w:w="320" w:type="dxa"/>
            <w:vAlign w:val="bottom"/>
          </w:tcPr>
          <w:p>
            <w:pPr>
              <w:spacing w:after="0"/>
              <w:rPr>
                <w:sz w:val="13"/>
                <w:szCs w:val="13"/>
                <w:color w:val="auto"/>
              </w:rPr>
            </w:pPr>
          </w:p>
        </w:tc>
        <w:tc>
          <w:tcPr>
            <w:tcW w:w="80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8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vMerge w:val="continue"/>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center"/>
              <w:ind w:right="274"/>
              <w:spacing w:after="0"/>
              <w:rPr>
                <w:sz w:val="20"/>
                <w:szCs w:val="20"/>
                <w:color w:val="auto"/>
              </w:rPr>
            </w:pPr>
            <w:r>
              <w:rPr>
                <w:rFonts w:ascii="Arial" w:cs="Arial" w:eastAsia="Arial" w:hAnsi="Arial"/>
                <w:sz w:val="14"/>
                <w:szCs w:val="14"/>
                <w:b w:val="1"/>
                <w:bCs w:val="1"/>
                <w:color w:val="auto"/>
                <w:w w:val="92"/>
              </w:rPr>
              <w:t>Loans</w:t>
            </w: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FICO Score Category:</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80" w:type="dxa"/>
            <w:vAlign w:val="bottom"/>
          </w:tcPr>
          <w:p>
            <w:pPr>
              <w:ind w:left="20"/>
              <w:spacing w:after="0"/>
              <w:rPr>
                <w:sz w:val="20"/>
                <w:szCs w:val="20"/>
                <w:color w:val="auto"/>
              </w:rPr>
            </w:pPr>
            <w:r>
              <w:rPr>
                <w:rFonts w:ascii="Arial" w:cs="Arial" w:eastAsia="Arial" w:hAnsi="Arial"/>
                <w:sz w:val="18"/>
                <w:szCs w:val="18"/>
                <w:color w:val="auto"/>
              </w:rPr>
              <w:t>600 or Less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257"/>
              <w:spacing w:after="0"/>
              <w:rPr>
                <w:sz w:val="20"/>
                <w:szCs w:val="20"/>
                <w:color w:val="auto"/>
              </w:rPr>
            </w:pPr>
            <w:r>
              <w:rPr>
                <w:rFonts w:ascii="Arial" w:cs="Arial" w:eastAsia="Arial" w:hAnsi="Arial"/>
                <w:sz w:val="18"/>
                <w:szCs w:val="18"/>
                <w:color w:val="auto"/>
              </w:rPr>
              <w:t>$</w:t>
            </w:r>
          </w:p>
        </w:tc>
        <w:tc>
          <w:tcPr>
            <w:tcW w:w="560" w:type="dxa"/>
            <w:vAlign w:val="bottom"/>
          </w:tcPr>
          <w:p>
            <w:pPr>
              <w:ind w:left="34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11,131</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11,131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Between 600 and 700</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5"/>
              </w:rPr>
              <w:t>124,622</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80" w:type="dxa"/>
            <w:vAlign w:val="bottom"/>
          </w:tcPr>
          <w:p>
            <w:pPr>
              <w:ind w:left="20"/>
              <w:spacing w:after="0"/>
              <w:rPr>
                <w:sz w:val="20"/>
                <w:szCs w:val="20"/>
                <w:color w:val="auto"/>
              </w:rPr>
            </w:pPr>
            <w:r>
              <w:rPr>
                <w:rFonts w:ascii="Arial" w:cs="Arial" w:eastAsia="Arial" w:hAnsi="Arial"/>
                <w:sz w:val="18"/>
                <w:szCs w:val="18"/>
                <w:color w:val="auto"/>
              </w:rPr>
              <w:t>700 or Greater</w:t>
            </w:r>
          </w:p>
        </w:tc>
        <w:tc>
          <w:tcPr>
            <w:tcW w:w="240" w:type="dxa"/>
            <w:vAlign w:val="bottom"/>
          </w:tcPr>
          <w:p>
            <w:pPr>
              <w:spacing w:after="0"/>
              <w:rPr>
                <w:sz w:val="19"/>
                <w:szCs w:val="19"/>
                <w:color w:val="auto"/>
              </w:rPr>
            </w:pP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560" w:type="dxa"/>
            <w:vAlign w:val="bottom"/>
          </w:tcPr>
          <w:p>
            <w:pPr>
              <w:ind w:left="3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19,044</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19,044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 Score Identified</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5,321</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tcPr>
          <w:p>
            <w:pPr>
              <w:ind w:left="20"/>
              <w:spacing w:after="0"/>
              <w:rPr>
                <w:sz w:val="20"/>
                <w:szCs w:val="20"/>
                <w:color w:val="auto"/>
              </w:rPr>
            </w:pPr>
            <w:r>
              <w:rPr>
                <w:rFonts w:ascii="Arial" w:cs="Arial" w:eastAsia="Arial" w:hAnsi="Arial"/>
                <w:sz w:val="18"/>
                <w:szCs w:val="18"/>
                <w:color w:val="auto"/>
              </w:rPr>
              <w:t>Total Amortized Cost</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5,321</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ind w:right="257"/>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w w:val="95"/>
              </w:rPr>
              <w:t>154,797</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160,118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5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580" w:type="dxa"/>
            <w:vAlign w:val="bottom"/>
          </w:tcPr>
          <w:p>
            <w:pPr>
              <w:ind w:left="20"/>
              <w:spacing w:after="0" w:line="176" w:lineRule="exact"/>
              <w:rPr>
                <w:sz w:val="20"/>
                <w:szCs w:val="20"/>
                <w:color w:val="auto"/>
              </w:rPr>
            </w:pPr>
            <w:r>
              <w:rPr>
                <w:rFonts w:ascii="Arial" w:cs="Arial" w:eastAsia="Arial" w:hAnsi="Arial"/>
                <w:sz w:val="18"/>
                <w:szCs w:val="18"/>
                <w:color w:val="auto"/>
              </w:rPr>
              <w:t>Gross Charge-offs by Origination Year for the Nine Months Ended</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80" w:type="dxa"/>
            <w:vAlign w:val="bottom"/>
          </w:tcPr>
          <w:p>
            <w:pPr>
              <w:ind w:left="20"/>
              <w:spacing w:after="0"/>
              <w:rPr>
                <w:sz w:val="20"/>
                <w:szCs w:val="20"/>
                <w:color w:val="auto"/>
              </w:rPr>
            </w:pPr>
            <w:r>
              <w:rPr>
                <w:rFonts w:ascii="Arial" w:cs="Arial" w:eastAsia="Arial" w:hAnsi="Arial"/>
                <w:sz w:val="18"/>
                <w:szCs w:val="18"/>
                <w:color w:val="auto"/>
              </w:rPr>
              <w:t>September 30, 2023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1,019</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2,449</w:t>
            </w:r>
          </w:p>
        </w:tc>
        <w:tc>
          <w:tcPr>
            <w:tcW w:w="540" w:type="dxa"/>
            <w:vAlign w:val="bottom"/>
          </w:tcPr>
          <w:p>
            <w:pPr>
              <w:jc w:val="right"/>
              <w:ind w:right="257"/>
              <w:spacing w:after="0"/>
              <w:rPr>
                <w:sz w:val="20"/>
                <w:szCs w:val="20"/>
                <w:color w:val="auto"/>
              </w:rPr>
            </w:pPr>
            <w:r>
              <w:rPr>
                <w:rFonts w:ascii="Arial" w:cs="Arial" w:eastAsia="Arial" w:hAnsi="Arial"/>
                <w:sz w:val="18"/>
                <w:szCs w:val="18"/>
                <w:color w:val="auto"/>
              </w:rPr>
              <w:t>$</w:t>
            </w:r>
          </w:p>
        </w:tc>
        <w:tc>
          <w:tcPr>
            <w:tcW w:w="560" w:type="dxa"/>
            <w:vAlign w:val="bottom"/>
          </w:tcPr>
          <w:p>
            <w:pPr>
              <w:ind w:left="34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31,120</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34,588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5600" w:type="dxa"/>
            <w:vAlign w:val="bottom"/>
            <w:gridSpan w:val="2"/>
          </w:tcPr>
          <w:p>
            <w:pPr>
              <w:spacing w:after="0"/>
              <w:rPr>
                <w:sz w:val="20"/>
                <w:szCs w:val="20"/>
                <w:color w:val="auto"/>
              </w:rPr>
            </w:pPr>
            <w:r>
              <w:rPr>
                <w:rFonts w:ascii="Arial" w:cs="Arial" w:eastAsia="Arial" w:hAnsi="Arial"/>
                <w:sz w:val="18"/>
                <w:szCs w:val="18"/>
                <w:color w:val="auto"/>
                <w:w w:val="90"/>
              </w:rPr>
              <w:t>Included in the table below is an aging of the loans receivable, gross balance:</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5580" w:type="dxa"/>
            <w:vAlign w:val="bottom"/>
          </w:tcPr>
          <w:p>
            <w:pPr>
              <w:spacing w:after="0"/>
              <w:rPr>
                <w:sz w:val="20"/>
                <w:szCs w:val="20"/>
                <w:color w:val="auto"/>
              </w:rPr>
            </w:pPr>
            <w:r>
              <w:rPr>
                <w:rFonts w:ascii="Arial" w:cs="Arial" w:eastAsia="Arial" w:hAnsi="Arial"/>
                <w:sz w:val="14"/>
                <w:szCs w:val="14"/>
                <w:b w:val="1"/>
                <w:bCs w:val="1"/>
                <w:color w:val="auto"/>
              </w:rPr>
              <w:t>(Dollar Amounts in Thousands)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tcPr>
          <w:p>
            <w:pPr>
              <w:spacing w:after="0"/>
              <w:rPr>
                <w:sz w:val="20"/>
                <w:szCs w:val="20"/>
                <w:color w:val="auto"/>
              </w:rPr>
            </w:pPr>
            <w:r>
              <w:rPr>
                <w:rFonts w:ascii="Arial" w:cs="Arial" w:eastAsia="Arial" w:hAnsi="Arial"/>
                <w:sz w:val="14"/>
                <w:szCs w:val="14"/>
                <w:b w:val="1"/>
                <w:bCs w:val="1"/>
                <w:color w:val="auto"/>
              </w:rPr>
              <w:t>Aging Category</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gridSpan w:val="3"/>
          </w:tcPr>
          <w:p>
            <w:pPr>
              <w:jc w:val="right"/>
              <w:ind w:right="192"/>
              <w:spacing w:after="0"/>
              <w:rPr>
                <w:sz w:val="20"/>
                <w:szCs w:val="20"/>
                <w:color w:val="auto"/>
              </w:rPr>
            </w:pPr>
            <w:r>
              <w:rPr>
                <w:rFonts w:ascii="Arial" w:cs="Arial" w:eastAsia="Arial" w:hAnsi="Arial"/>
                <w:sz w:val="14"/>
                <w:szCs w:val="14"/>
                <w:b w:val="1"/>
                <w:bCs w:val="1"/>
                <w:color w:val="auto"/>
                <w:w w:val="96"/>
              </w:rPr>
              <w:t>September 30, 2023</w:t>
            </w:r>
          </w:p>
        </w:tc>
        <w:tc>
          <w:tcPr>
            <w:tcW w:w="1860" w:type="dxa"/>
            <w:vAlign w:val="bottom"/>
            <w:gridSpan w:val="3"/>
          </w:tcPr>
          <w:p>
            <w:pPr>
              <w:jc w:val="right"/>
              <w:ind w:right="191"/>
              <w:spacing w:after="0"/>
              <w:rPr>
                <w:sz w:val="20"/>
                <w:szCs w:val="20"/>
                <w:color w:val="auto"/>
              </w:rPr>
            </w:pPr>
            <w:r>
              <w:rPr>
                <w:rFonts w:ascii="Arial" w:cs="Arial" w:eastAsia="Arial" w:hAnsi="Arial"/>
                <w:sz w:val="14"/>
                <w:szCs w:val="14"/>
                <w:b w:val="1"/>
                <w:bCs w:val="1"/>
                <w:color w:val="auto"/>
              </w:rPr>
              <w:t>December 31, 2022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0" w:type="dxa"/>
            <w:vAlign w:val="bottom"/>
            <w:tcBorders>
              <w:bottom w:val="single" w:sz="8" w:color="auto"/>
            </w:tcBorders>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30-59 Days Past Due</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6.5 %</w:t>
            </w:r>
          </w:p>
        </w:tc>
        <w:tc>
          <w:tcPr>
            <w:tcW w:w="7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6.6 %</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80" w:type="dxa"/>
            <w:vAlign w:val="bottom"/>
          </w:tcPr>
          <w:p>
            <w:pPr>
              <w:ind w:left="120"/>
              <w:spacing w:after="0"/>
              <w:rPr>
                <w:sz w:val="20"/>
                <w:szCs w:val="20"/>
                <w:color w:val="auto"/>
              </w:rPr>
            </w:pPr>
            <w:r>
              <w:rPr>
                <w:rFonts w:ascii="Arial" w:cs="Arial" w:eastAsia="Arial" w:hAnsi="Arial"/>
                <w:sz w:val="18"/>
                <w:szCs w:val="18"/>
                <w:color w:val="auto"/>
              </w:rPr>
              <w:t>60-89 Days Past Due</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1"/>
              </w:rPr>
              <w:t>3.7 %</w:t>
            </w: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90 or More Days Past Due</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5.6 %</w:t>
            </w:r>
          </w:p>
        </w:tc>
        <w:tc>
          <w:tcPr>
            <w:tcW w:w="7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Past Due Loans Receivable</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15.8 %</w:t>
            </w: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15.2 %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Current Loans Receivable</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84.2 %</w:t>
            </w:r>
          </w:p>
        </w:tc>
        <w:tc>
          <w:tcPr>
            <w:tcW w:w="7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84.8 %</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 of Credit Card Loans on Nonaccrual Status</w:t>
            </w:r>
          </w:p>
        </w:tc>
        <w:tc>
          <w:tcPr>
            <w:tcW w:w="2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8"/>
                <w:szCs w:val="18"/>
                <w:color w:val="auto"/>
              </w:rPr>
              <w:t>4,633</w:t>
            </w:r>
          </w:p>
        </w:tc>
        <w:tc>
          <w:tcPr>
            <w:tcW w:w="740" w:type="dxa"/>
            <w:vAlign w:val="bottom"/>
            <w:tcBorders>
              <w:bottom w:val="single" w:sz="8" w:color="auto"/>
            </w:tcBorders>
          </w:tcPr>
          <w:p>
            <w:pPr>
              <w:jc w:val="center"/>
              <w:ind w:right="314"/>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4,436</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7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0"/>
              </w:rPr>
              <w:t>Balance of Loans Receivable 90 or More Days Past Due and Still Accruing Interest and Fees</w:t>
            </w: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center"/>
              <w:ind w:right="314"/>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presents the components of the allowance for loan losses for the three and nine months ended September 30, 2023 and 2022:</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80" w:type="dxa"/>
            <w:vAlign w:val="bottom"/>
            <w:gridSpan w:val="3"/>
          </w:tcPr>
          <w:p>
            <w:pPr>
              <w:jc w:val="right"/>
              <w:ind w:right="533"/>
              <w:spacing w:after="0"/>
              <w:rPr>
                <w:sz w:val="20"/>
                <w:szCs w:val="20"/>
                <w:color w:val="auto"/>
              </w:rPr>
            </w:pPr>
            <w:r>
              <w:rPr>
                <w:rFonts w:ascii="Arial" w:cs="Arial" w:eastAsia="Arial" w:hAnsi="Arial"/>
                <w:sz w:val="14"/>
                <w:szCs w:val="14"/>
                <w:b w:val="1"/>
                <w:bCs w:val="1"/>
                <w:color w:val="auto"/>
              </w:rPr>
              <w:t>Three Months Ended September 30,</w:t>
            </w:r>
          </w:p>
        </w:tc>
        <w:tc>
          <w:tcPr>
            <w:tcW w:w="400" w:type="dxa"/>
            <w:vAlign w:val="bottom"/>
          </w:tcPr>
          <w:p>
            <w:pPr>
              <w:spacing w:after="0"/>
              <w:rPr>
                <w:sz w:val="16"/>
                <w:szCs w:val="16"/>
                <w:color w:val="auto"/>
              </w:rPr>
            </w:pPr>
          </w:p>
        </w:tc>
        <w:tc>
          <w:tcPr>
            <w:tcW w:w="3020" w:type="dxa"/>
            <w:vAlign w:val="bottom"/>
            <w:gridSpan w:val="4"/>
          </w:tcPr>
          <w:p>
            <w:pPr>
              <w:ind w:left="26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43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38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38,946</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40,797</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42,428</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tcPr>
          <w:p>
            <w:pPr>
              <w:ind w:left="220"/>
              <w:spacing w:after="0"/>
              <w:rPr>
                <w:sz w:val="20"/>
                <w:szCs w:val="20"/>
                <w:color w:val="auto"/>
              </w:rPr>
            </w:pPr>
            <w:r>
              <w:rPr>
                <w:rFonts w:ascii="Arial" w:cs="Arial" w:eastAsia="Arial" w:hAnsi="Arial"/>
                <w:sz w:val="18"/>
                <w:szCs w:val="18"/>
                <w:color w:val="auto"/>
              </w:rPr>
              <w:t>Provision for Loan Losses</w:t>
            </w:r>
          </w:p>
        </w:tc>
        <w:tc>
          <w:tcPr>
            <w:tcW w:w="340" w:type="dxa"/>
            <w:vAlign w:val="bottom"/>
          </w:tcPr>
          <w:p>
            <w:pPr>
              <w:spacing w:after="0"/>
              <w:rPr>
                <w:sz w:val="19"/>
                <w:szCs w:val="19"/>
                <w:color w:val="auto"/>
              </w:rPr>
            </w:pPr>
          </w:p>
        </w:tc>
        <w:tc>
          <w:tcPr>
            <w:tcW w:w="1340" w:type="dxa"/>
            <w:vAlign w:val="bottom"/>
          </w:tcPr>
          <w:p>
            <w:pPr>
              <w:jc w:val="right"/>
              <w:ind w:right="35"/>
              <w:spacing w:after="0"/>
              <w:rPr>
                <w:sz w:val="20"/>
                <w:szCs w:val="20"/>
                <w:color w:val="auto"/>
              </w:rPr>
            </w:pPr>
            <w:r>
              <w:rPr>
                <w:rFonts w:ascii="Arial" w:cs="Arial" w:eastAsia="Arial" w:hAnsi="Arial"/>
                <w:sz w:val="18"/>
                <w:szCs w:val="18"/>
                <w:color w:val="auto"/>
              </w:rPr>
              <w:t>10,521</w:t>
            </w:r>
          </w:p>
        </w:tc>
        <w:tc>
          <w:tcPr>
            <w:tcW w:w="440" w:type="dxa"/>
            <w:vAlign w:val="bottom"/>
          </w:tcPr>
          <w:p>
            <w:pPr>
              <w:spacing w:after="0"/>
              <w:rPr>
                <w:sz w:val="19"/>
                <w:szCs w:val="19"/>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12,031</w:t>
            </w:r>
          </w:p>
        </w:tc>
        <w:tc>
          <w:tcPr>
            <w:tcW w:w="400" w:type="dxa"/>
            <w:vAlign w:val="bottom"/>
          </w:tcPr>
          <w:p>
            <w:pPr>
              <w:spacing w:after="0"/>
              <w:rPr>
                <w:sz w:val="19"/>
                <w:szCs w:val="19"/>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28,026</w:t>
            </w:r>
          </w:p>
        </w:tc>
        <w:tc>
          <w:tcPr>
            <w:tcW w:w="4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28,491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Charge-offs</w:t>
            </w: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(10,968)</w:t>
            </w:r>
          </w:p>
        </w:tc>
        <w:tc>
          <w:tcPr>
            <w:tcW w:w="4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(11,612)</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(34,588)</w:t>
            </w: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Recoveries</w:t>
            </w: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1,690</w:t>
            </w:r>
          </w:p>
        </w:tc>
        <w:tc>
          <w:tcPr>
            <w:tcW w:w="4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1,086</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4,323</w:t>
            </w:r>
          </w:p>
        </w:tc>
        <w:tc>
          <w:tcPr>
            <w:tcW w:w="4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40,189</w:t>
            </w: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42,302</w:t>
            </w:r>
          </w:p>
        </w:tc>
        <w:tc>
          <w:tcPr>
            <w:tcW w:w="4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40,189</w:t>
            </w: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42,302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jc w:val="right"/>
              <w:ind w:right="275"/>
              <w:spacing w:after="0"/>
              <w:rPr>
                <w:sz w:val="20"/>
                <w:szCs w:val="20"/>
                <w:color w:val="auto"/>
              </w:rPr>
            </w:pPr>
            <w:r>
              <w:rPr>
                <w:rFonts w:ascii="Arial" w:cs="Arial" w:eastAsia="Arial" w:hAnsi="Arial"/>
                <w:sz w:val="18"/>
                <w:szCs w:val="18"/>
                <w:color w:val="auto"/>
              </w:rPr>
              <w:t>16</w:t>
            </w: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3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and Regulatory Proceedings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From time to time, the Company is party to various legal and regulatory proceedings arising in the ordinary course of business.</w:t>
      </w:r>
    </w:p>
    <w:p>
      <w:pPr>
        <w:spacing w:after="0" w:line="104"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Some of the proceedings to which the Company is currently a party are described below. The Company believes it has meritorious defenses to all of the claims described below, and intends to vigorously defend against the claims. However, these proceedings are still developing and due to the inherent uncertainty in litigation, regulatory and similar adversarial proceedings, there can be no guarantee that the Company will ultimately be successful in these proceedings, or in others to which it is currently a party. Substantial losses from these proceedings or the costs of defending them could have a material adverse impact upon the Company’s business, financial position and results of operations.</w:t>
      </w:r>
    </w:p>
    <w:p>
      <w:pPr>
        <w:spacing w:after="0" w:line="5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establishes an accrued liability for legal and regulatory proceedings when it determines that a loss is both probable and the amount of the loss can be reasonably estimated. The Company continually monitors its litigation and regulatory exposure and reviews the adequacy of its legal and regulatory reserves on a quarterly basis. The amount of any loss ultimately incurred in relation to matters for which an accrual has been established may be higher or lower than the amounts accrued for such matters.</w:t>
      </w:r>
    </w:p>
    <w:p>
      <w:pPr>
        <w:spacing w:after="0" w:line="52"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At September 30, 2023 and December 31, 2022, the Company had accrued $1.1 million and $0.6 million, respectively, for pending legal and regulatory matters for which it believes losses are probable and the amount of the loss can be reasonably estimated. The Company records its best estimate of the loss to legal and regulatory liabilities in accounts payable and accrued expenses in the condensed consolidated balance sheets. The Company estimates the aggregate range of reasonably possible loss in excess of accrued liabilities for such probable loss contingencies is immaterial. Those matters for which a probable loss cannot be reasonably estimated are not included within the estimated ranges.</w:t>
      </w:r>
    </w:p>
    <w:p>
      <w:pPr>
        <w:spacing w:after="0" w:line="5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At September 30, 2023, the Company estimated that the aggregate range of loss for all material pending legal and regulatory proceedings for which a loss is reasonably possible, but less likely than probable (i.e., excluding the contingencies described in the preceding paragraph), is immaterial. Those matters for which a reasonable estimate is not possible are not included within estimated ranges and, therefore, the estimated ranges do not represent the Company's maximum loss exposure. The Company’s estimates for legal and regulatory accruals, aggregate probable loss amounts and reasonably possible loss amounts are all subject to the uncertainties and variables described above.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Inquiries</w:t>
      </w:r>
    </w:p>
    <w:p>
      <w:pPr>
        <w:spacing w:after="0" w:line="10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 January 2021, the Company, along with other lease-to-own companies, received a subpoena from the California Department of Financial Protection and Innovation (the "DFPI") requesting the production of documents regarding the Company’s compliance with state consumer protection laws, including new legislation that went into effect on January 1, 2021. Although the Company believes it is in compliance with all applicable consumer financial laws and regulations in California, this inquiry may lead to an enforcement action and/or a consent order, and substantial costs, including legal fees, fines, penalties, and remediation expenses. While the Company intends to preserve defenses surrounding the jurisdiction of DFPI in this matter, it has fully cooperated, and anticipates continuing to cooperate, with the DFPI in responding to its inquiry.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Matters</w:t>
      </w:r>
    </w:p>
    <w:p>
      <w:pPr>
        <w:spacing w:after="0" w:line="9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On August 25, 2022, the Pennsylvania Attorney General filed a complaint against Progressive Leasing in the Philadelphia County Court of Common Pleas alleging, among other things, that Progressive Leasing was operating in the Commonwealth of Pennsylvania in violation of the Pennsylvania Rental Purchase Agreement Act by failing to disclose certain terms and conditions of rent-to-own ("RTO") transactions on "hang tags" physically attached to RTO merchandise. The complaint seeks, among other things, to convert all RTO agreements entered into by Progressive Leasing prior to September 9, 2022 into retail installment contracts for which the maximum interest rate is 6% per annum, civil penalties in the amount of $1,000 for each violation of Pennsylvania’s Unfair Trade Practices and Consumer Protection Law (and $3,000 for each such violation involving a consumer age 60 or older) and unspecified investigation and prosecution costs. Progressive Leasing believes the Pennsylvania Attorney General’s claims are without merit and intends to vigorously defend itself in this matter. It is reasonably possible that a loss in excess of amounts accrued may be incurred, but at this time, we are unable to predict the outcome or reasonably estimate the range of losses that could potentially result from this lawsuit.</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7" w:name="page18"/>
    <w:bookmarkEnd w:id="17"/>
    <w:p>
      <w:pPr>
        <w:jc w:val="center"/>
        <w:ind w:right="-59"/>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Contingencies</w:t>
      </w:r>
    </w:p>
    <w:p>
      <w:pPr>
        <w:spacing w:after="0" w:line="104"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Management regularly assesses the Company’s insurance deductibles, monitors the Company's litigation and regulatory exposure with the Company's attorneys and evaluates its loss experience. The Company also enters into various contracts in the normal course of business that may subject it to risk of financial loss if counterparties fail to perform their contractual obligations.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Risk</w:t>
      </w:r>
    </w:p>
    <w:p>
      <w:pPr>
        <w:spacing w:after="0" w:line="9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through its Vive segment, had unconditionally cancellable unfunded lending commitments totaling $531.2 million and $513.7 million as of September 30, 2023 and December 31, 2022, respectively, that do not give rise to revenues and cash flows. These unfunded commitments arise in the ordinary course of business from credit card agreements with individual cardholders that give them the ability to borrow, against unused amounts, up to the maximum credit limit assigned to their account. While these unfunded amounts represent the total available unused lines of credit, the Company does not anticipate that all cardholders will utilize their entire available line at any given point in time. Commitments to extend unsecured credit are agreements to lend to a cardholder so long as there is no violation of any condition established in the contract. Commitments generally have fixed expiration dates or other termination clauses. Since many of the commitments are expected to expire without being drawn upon, the total commitment amounts do not necessarily represent future cash requirements.</w:t>
      </w:r>
    </w:p>
    <w:p>
      <w:pPr>
        <w:spacing w:after="0" w:line="200" w:lineRule="exact"/>
        <w:rPr>
          <w:sz w:val="20"/>
          <w:szCs w:val="20"/>
          <w:color w:val="auto"/>
        </w:rPr>
      </w:pPr>
    </w:p>
    <w:p>
      <w:pPr>
        <w:spacing w:after="0" w:line="3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4" w:right="39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RESTRUCTURING EXPENSES</w:t>
      </w:r>
    </w:p>
    <w:p>
      <w:pPr>
        <w:spacing w:after="0" w:line="9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During 2022, the Company initiated restructuring activities intended to reduce expenses, consolidate certain segment corporate headquarters, and align the cost structure of the business with the Company's near-term revenue outlook. The Company continued such activities during 2023 and recorded restructuring expenses of $0.2 million and $2.0 million for the three and nine months ended September 30, 2023, respectfully, resulting in aggregate expenses of $11.0 million since the inception of the restructuring activities in 2022. These costs were primarily comprised of employee severance within Progressive Leasing and operating lease right-of-use asset impairment charges related to the relocation of the Vive corporate headquarters to the Company's corporate office building and a reduction of call center office space. The Company will continue to monitor the impacts of changes in macroeconomic conditions on its businesses and may take additional steps to further adjust the Company's cost structure based on unfavorable changes in these conditions, which may result in further restructuring charges in future periods.</w:t>
      </w:r>
    </w:p>
    <w:p>
      <w:pPr>
        <w:spacing w:after="0" w:line="5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following tables summarize restructuring charges recorded within operating expenses in the condensed consolidated statements of earnings for the three and nine months ended September 30, 2023:</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40" w:type="dxa"/>
            <w:vAlign w:val="bottom"/>
            <w:gridSpan w:val="4"/>
          </w:tcPr>
          <w:p>
            <w:pPr>
              <w:ind w:left="780"/>
              <w:spacing w:after="0"/>
              <w:rPr>
                <w:sz w:val="20"/>
                <w:szCs w:val="20"/>
                <w:color w:val="auto"/>
              </w:rPr>
            </w:pPr>
            <w:r>
              <w:rPr>
                <w:rFonts w:ascii="Arial" w:cs="Arial" w:eastAsia="Arial" w:hAnsi="Arial"/>
                <w:sz w:val="14"/>
                <w:szCs w:val="14"/>
                <w:b w:val="1"/>
                <w:bCs w:val="1"/>
                <w:color w:val="auto"/>
                <w:w w:val="96"/>
              </w:rPr>
              <w:t>Three Months Ended September 30, 2023</w:t>
            </w: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500" w:type="dxa"/>
            <w:vAlign w:val="bottom"/>
            <w:gridSpan w:val="5"/>
          </w:tcPr>
          <w:p>
            <w:pPr>
              <w:jc w:val="center"/>
              <w:ind w:left="597"/>
              <w:spacing w:after="0"/>
              <w:rPr>
                <w:sz w:val="20"/>
                <w:szCs w:val="20"/>
                <w:color w:val="auto"/>
              </w:rPr>
            </w:pPr>
            <w:r>
              <w:rPr>
                <w:rFonts w:ascii="Arial" w:cs="Arial" w:eastAsia="Arial" w:hAnsi="Arial"/>
                <w:sz w:val="14"/>
                <w:szCs w:val="14"/>
                <w:b w:val="1"/>
                <w:bCs w:val="1"/>
                <w:color w:val="auto"/>
                <w:w w:val="92"/>
              </w:rPr>
              <w:t>Three Months Ended September 30, 2022</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2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2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jc w:val="right"/>
              <w:ind w:right="117"/>
              <w:spacing w:after="0" w:line="133" w:lineRule="exact"/>
              <w:rPr>
                <w:sz w:val="20"/>
                <w:szCs w:val="20"/>
                <w:color w:val="auto"/>
              </w:rPr>
            </w:pPr>
            <w:r>
              <w:rPr>
                <w:rFonts w:ascii="Arial" w:cs="Arial" w:eastAsia="Arial" w:hAnsi="Arial"/>
                <w:sz w:val="14"/>
                <w:szCs w:val="14"/>
                <w:b w:val="1"/>
                <w:bCs w:val="1"/>
                <w:color w:val="auto"/>
                <w:w w:val="89"/>
              </w:rPr>
              <w:t>Progressive</w:t>
            </w:r>
          </w:p>
        </w:tc>
        <w:tc>
          <w:tcPr>
            <w:tcW w:w="280" w:type="dxa"/>
            <w:vAlign w:val="bottom"/>
          </w:tcPr>
          <w:p>
            <w:pPr>
              <w:spacing w:after="0"/>
              <w:rPr>
                <w:sz w:val="11"/>
                <w:szCs w:val="11"/>
                <w:color w:val="auto"/>
              </w:rPr>
            </w:pPr>
          </w:p>
        </w:tc>
        <w:tc>
          <w:tcPr>
            <w:tcW w:w="10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Vive</w:t>
            </w:r>
          </w:p>
        </w:tc>
        <w:tc>
          <w:tcPr>
            <w:tcW w:w="114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Other</w:t>
            </w:r>
          </w:p>
        </w:tc>
        <w:tc>
          <w:tcPr>
            <w:tcW w:w="84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1"/>
                <w:szCs w:val="11"/>
                <w:color w:val="auto"/>
              </w:rPr>
            </w:pPr>
          </w:p>
        </w:tc>
        <w:tc>
          <w:tcPr>
            <w:tcW w:w="940" w:type="dxa"/>
            <w:vAlign w:val="bottom"/>
          </w:tcPr>
          <w:p>
            <w:pPr>
              <w:jc w:val="right"/>
              <w:ind w:right="117"/>
              <w:spacing w:after="0" w:line="133" w:lineRule="exact"/>
              <w:rPr>
                <w:sz w:val="20"/>
                <w:szCs w:val="20"/>
                <w:color w:val="auto"/>
              </w:rPr>
            </w:pPr>
            <w:r>
              <w:rPr>
                <w:rFonts w:ascii="Arial" w:cs="Arial" w:eastAsia="Arial" w:hAnsi="Arial"/>
                <w:sz w:val="14"/>
                <w:szCs w:val="14"/>
                <w:b w:val="1"/>
                <w:bCs w:val="1"/>
                <w:color w:val="auto"/>
                <w:w w:val="89"/>
              </w:rPr>
              <w:t>Progressive</w:t>
            </w:r>
          </w:p>
        </w:tc>
        <w:tc>
          <w:tcPr>
            <w:tcW w:w="300" w:type="dxa"/>
            <w:vAlign w:val="bottom"/>
          </w:tcPr>
          <w:p>
            <w:pPr>
              <w:spacing w:after="0"/>
              <w:rPr>
                <w:sz w:val="11"/>
                <w:szCs w:val="11"/>
                <w:color w:val="auto"/>
              </w:rPr>
            </w:pPr>
          </w:p>
        </w:tc>
        <w:tc>
          <w:tcPr>
            <w:tcW w:w="82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Vive</w:t>
            </w:r>
          </w:p>
        </w:tc>
        <w:tc>
          <w:tcPr>
            <w:tcW w:w="280" w:type="dxa"/>
            <w:vAlign w:val="bottom"/>
          </w:tcPr>
          <w:p>
            <w:pPr>
              <w:spacing w:after="0"/>
              <w:rPr>
                <w:sz w:val="11"/>
                <w:szCs w:val="11"/>
                <w:color w:val="auto"/>
              </w:rPr>
            </w:pPr>
          </w:p>
        </w:tc>
        <w:tc>
          <w:tcPr>
            <w:tcW w:w="116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Other</w:t>
            </w:r>
          </w:p>
        </w:tc>
        <w:tc>
          <w:tcPr>
            <w:tcW w:w="84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28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Leasing</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Leasing</w:t>
            </w: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Severance</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11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 $</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2,076</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 $</w:t>
            </w:r>
          </w:p>
        </w:tc>
        <w:tc>
          <w:tcPr>
            <w:tcW w:w="11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 $</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2,076</w:t>
            </w:r>
          </w:p>
        </w:tc>
        <w:tc>
          <w:tcPr>
            <w:tcW w:w="0" w:type="dxa"/>
            <w:vAlign w:val="bottom"/>
          </w:tcPr>
          <w:p>
            <w:pPr>
              <w:spacing w:after="0"/>
              <w:rPr>
                <w:sz w:val="1"/>
                <w:szCs w:val="1"/>
                <w:color w:val="auto"/>
              </w:rPr>
            </w:pPr>
          </w:p>
        </w:tc>
      </w:tr>
      <w:tr>
        <w:trPr>
          <w:trHeight w:val="176"/>
        </w:trPr>
        <w:tc>
          <w:tcPr>
            <w:tcW w:w="2280" w:type="dxa"/>
            <w:vAlign w:val="bottom"/>
          </w:tcPr>
          <w:p>
            <w:pPr>
              <w:ind w:left="20"/>
              <w:spacing w:after="0" w:line="176" w:lineRule="exact"/>
              <w:rPr>
                <w:sz w:val="20"/>
                <w:szCs w:val="20"/>
                <w:color w:val="auto"/>
              </w:rPr>
            </w:pPr>
            <w:r>
              <w:rPr>
                <w:rFonts w:ascii="Arial" w:cs="Arial" w:eastAsia="Arial" w:hAnsi="Arial"/>
                <w:sz w:val="18"/>
                <w:szCs w:val="18"/>
                <w:color w:val="auto"/>
              </w:rPr>
              <w:t>Right-of-Use Asset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80" w:type="dxa"/>
            <w:vAlign w:val="bottom"/>
          </w:tcPr>
          <w:p>
            <w:pPr>
              <w:ind w:left="20"/>
              <w:spacing w:after="0"/>
              <w:rPr>
                <w:sz w:val="20"/>
                <w:szCs w:val="20"/>
                <w:color w:val="auto"/>
              </w:rPr>
            </w:pPr>
            <w:r>
              <w:rPr>
                <w:rFonts w:ascii="Arial" w:cs="Arial" w:eastAsia="Arial" w:hAnsi="Arial"/>
                <w:sz w:val="18"/>
                <w:szCs w:val="18"/>
                <w:color w:val="auto"/>
              </w:rPr>
              <w:t>Impairment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ind w:left="580"/>
              <w:spacing w:after="0"/>
              <w:rPr>
                <w:sz w:val="20"/>
                <w:szCs w:val="20"/>
                <w:color w:val="auto"/>
              </w:rPr>
            </w:pPr>
            <w:r>
              <w:rPr>
                <w:rFonts w:ascii="Arial" w:cs="Arial" w:eastAsia="Arial" w:hAnsi="Arial"/>
                <w:sz w:val="18"/>
                <w:szCs w:val="18"/>
                <w:color w:val="auto"/>
              </w:rPr>
              <w:t>—</w:t>
            </w:r>
          </w:p>
        </w:tc>
        <w:tc>
          <w:tcPr>
            <w:tcW w:w="1140" w:type="dxa"/>
            <w:vAlign w:val="bottom"/>
          </w:tcPr>
          <w:p>
            <w:pPr>
              <w:ind w:left="6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2,285</w:t>
            </w: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60" w:type="dxa"/>
            <w:vAlign w:val="bottom"/>
          </w:tcPr>
          <w:p>
            <w:pPr>
              <w:ind w:left="6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2,285</w:t>
            </w:r>
          </w:p>
        </w:tc>
        <w:tc>
          <w:tcPr>
            <w:tcW w:w="0" w:type="dxa"/>
            <w:vAlign w:val="bottom"/>
          </w:tcPr>
          <w:p>
            <w:pPr>
              <w:spacing w:after="0"/>
              <w:rPr>
                <w:sz w:val="1"/>
                <w:szCs w:val="1"/>
                <w:color w:val="auto"/>
              </w:rPr>
            </w:pPr>
          </w:p>
        </w:tc>
      </w:tr>
      <w:tr>
        <w:trPr>
          <w:trHeight w:val="175"/>
        </w:trPr>
        <w:tc>
          <w:tcPr>
            <w:tcW w:w="22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Property and Equipment</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3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29"/>
        </w:trPr>
        <w:tc>
          <w:tcPr>
            <w:tcW w:w="2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6"/>
              </w:rPr>
              <w:t>Other Restructuring Activities</w:t>
            </w: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8"/>
        </w:trPr>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Total Restructuring Expenses</w:t>
            </w: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114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 $</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4,670</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 $</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4,673</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3440" w:type="dxa"/>
            <w:vAlign w:val="bottom"/>
            <w:tcBorders>
              <w:top w:val="single" w:sz="8" w:color="CCEEFF"/>
              <w:bottom w:val="single" w:sz="8" w:color="auto"/>
            </w:tcBorders>
            <w:gridSpan w:val="4"/>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3500" w:type="dxa"/>
            <w:vAlign w:val="bottom"/>
            <w:tcBorders>
              <w:top w:val="single" w:sz="8" w:color="CCEEFF"/>
              <w:bottom w:val="single" w:sz="8" w:color="auto"/>
            </w:tcBorders>
            <w:gridSpan w:val="5"/>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2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40" w:type="dxa"/>
            <w:vAlign w:val="bottom"/>
            <w:gridSpan w:val="4"/>
          </w:tcPr>
          <w:p>
            <w:pPr>
              <w:ind w:left="840"/>
              <w:spacing w:after="0"/>
              <w:rPr>
                <w:sz w:val="20"/>
                <w:szCs w:val="20"/>
                <w:color w:val="auto"/>
              </w:rPr>
            </w:pPr>
            <w:r>
              <w:rPr>
                <w:rFonts w:ascii="Arial" w:cs="Arial" w:eastAsia="Arial" w:hAnsi="Arial"/>
                <w:sz w:val="14"/>
                <w:szCs w:val="14"/>
                <w:b w:val="1"/>
                <w:bCs w:val="1"/>
                <w:color w:val="auto"/>
                <w:w w:val="97"/>
              </w:rPr>
              <w:t>Nine Months Ended September 30, 2023</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500" w:type="dxa"/>
            <w:vAlign w:val="bottom"/>
            <w:gridSpan w:val="5"/>
          </w:tcPr>
          <w:p>
            <w:pPr>
              <w:jc w:val="center"/>
              <w:ind w:left="617"/>
              <w:spacing w:after="0"/>
              <w:rPr>
                <w:sz w:val="20"/>
                <w:szCs w:val="20"/>
                <w:color w:val="auto"/>
              </w:rPr>
            </w:pPr>
            <w:r>
              <w:rPr>
                <w:rFonts w:ascii="Arial" w:cs="Arial" w:eastAsia="Arial" w:hAnsi="Arial"/>
                <w:sz w:val="14"/>
                <w:szCs w:val="14"/>
                <w:b w:val="1"/>
                <w:bCs w:val="1"/>
                <w:color w:val="auto"/>
                <w:w w:val="93"/>
              </w:rPr>
              <w:t>Nine Months Ended September 30, 2022</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2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2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jc w:val="right"/>
              <w:ind w:right="97"/>
              <w:spacing w:after="0" w:line="129" w:lineRule="exact"/>
              <w:rPr>
                <w:sz w:val="20"/>
                <w:szCs w:val="20"/>
                <w:color w:val="auto"/>
              </w:rPr>
            </w:pPr>
            <w:r>
              <w:rPr>
                <w:rFonts w:ascii="Arial" w:cs="Arial" w:eastAsia="Arial" w:hAnsi="Arial"/>
                <w:sz w:val="14"/>
                <w:szCs w:val="14"/>
                <w:b w:val="1"/>
                <w:bCs w:val="1"/>
                <w:color w:val="auto"/>
                <w:w w:val="92"/>
              </w:rPr>
              <w:t>Progressive</w:t>
            </w:r>
          </w:p>
        </w:tc>
        <w:tc>
          <w:tcPr>
            <w:tcW w:w="280" w:type="dxa"/>
            <w:vAlign w:val="bottom"/>
          </w:tcPr>
          <w:p>
            <w:pPr>
              <w:spacing w:after="0"/>
              <w:rPr>
                <w:sz w:val="11"/>
                <w:szCs w:val="11"/>
                <w:color w:val="auto"/>
              </w:rPr>
            </w:pPr>
          </w:p>
        </w:tc>
        <w:tc>
          <w:tcPr>
            <w:tcW w:w="108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Vive</w:t>
            </w:r>
          </w:p>
        </w:tc>
        <w:tc>
          <w:tcPr>
            <w:tcW w:w="114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Other</w:t>
            </w:r>
          </w:p>
        </w:tc>
        <w:tc>
          <w:tcPr>
            <w:tcW w:w="84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1"/>
                <w:szCs w:val="11"/>
                <w:color w:val="auto"/>
              </w:rPr>
            </w:pPr>
          </w:p>
        </w:tc>
        <w:tc>
          <w:tcPr>
            <w:tcW w:w="940" w:type="dxa"/>
            <w:vAlign w:val="bottom"/>
          </w:tcPr>
          <w:p>
            <w:pPr>
              <w:jc w:val="right"/>
              <w:ind w:right="77"/>
              <w:spacing w:after="0" w:line="129" w:lineRule="exact"/>
              <w:rPr>
                <w:sz w:val="20"/>
                <w:szCs w:val="20"/>
                <w:color w:val="auto"/>
              </w:rPr>
            </w:pPr>
            <w:r>
              <w:rPr>
                <w:rFonts w:ascii="Arial" w:cs="Arial" w:eastAsia="Arial" w:hAnsi="Arial"/>
                <w:sz w:val="14"/>
                <w:szCs w:val="14"/>
                <w:b w:val="1"/>
                <w:bCs w:val="1"/>
                <w:color w:val="auto"/>
                <w:w w:val="94"/>
              </w:rPr>
              <w:t>Progressive</w:t>
            </w:r>
          </w:p>
        </w:tc>
        <w:tc>
          <w:tcPr>
            <w:tcW w:w="300" w:type="dxa"/>
            <w:vAlign w:val="bottom"/>
          </w:tcPr>
          <w:p>
            <w:pPr>
              <w:spacing w:after="0"/>
              <w:rPr>
                <w:sz w:val="11"/>
                <w:szCs w:val="11"/>
                <w:color w:val="auto"/>
              </w:rPr>
            </w:pPr>
          </w:p>
        </w:tc>
        <w:tc>
          <w:tcPr>
            <w:tcW w:w="82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Vive</w:t>
            </w:r>
          </w:p>
        </w:tc>
        <w:tc>
          <w:tcPr>
            <w:tcW w:w="280" w:type="dxa"/>
            <w:vAlign w:val="bottom"/>
          </w:tcPr>
          <w:p>
            <w:pPr>
              <w:spacing w:after="0"/>
              <w:rPr>
                <w:sz w:val="11"/>
                <w:szCs w:val="11"/>
                <w:color w:val="auto"/>
              </w:rPr>
            </w:pPr>
          </w:p>
        </w:tc>
        <w:tc>
          <w:tcPr>
            <w:tcW w:w="11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Other</w:t>
            </w:r>
          </w:p>
        </w:tc>
        <w:tc>
          <w:tcPr>
            <w:tcW w:w="84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280" w:type="dxa"/>
            <w:vAlign w:val="bottom"/>
            <w:tcBorders>
              <w:bottom w:val="single" w:sz="8" w:color="auto"/>
            </w:tcBorders>
            <w:vMerge w:val="continue"/>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Leasing</w:t>
            </w: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Leasing</w:t>
            </w: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Severance</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1,983</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 $</w:t>
            </w:r>
          </w:p>
        </w:tc>
        <w:tc>
          <w:tcPr>
            <w:tcW w:w="11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 $</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5,611</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 $</w:t>
            </w:r>
          </w:p>
        </w:tc>
        <w:tc>
          <w:tcPr>
            <w:tcW w:w="11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 $</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5,611</w:t>
            </w:r>
          </w:p>
        </w:tc>
        <w:tc>
          <w:tcPr>
            <w:tcW w:w="0" w:type="dxa"/>
            <w:vAlign w:val="bottom"/>
          </w:tcPr>
          <w:p>
            <w:pPr>
              <w:spacing w:after="0"/>
              <w:rPr>
                <w:sz w:val="1"/>
                <w:szCs w:val="1"/>
                <w:color w:val="auto"/>
              </w:rPr>
            </w:pPr>
          </w:p>
        </w:tc>
      </w:tr>
      <w:tr>
        <w:trPr>
          <w:trHeight w:val="175"/>
        </w:trPr>
        <w:tc>
          <w:tcPr>
            <w:tcW w:w="2280" w:type="dxa"/>
            <w:vAlign w:val="bottom"/>
          </w:tcPr>
          <w:p>
            <w:pPr>
              <w:ind w:left="20"/>
              <w:spacing w:after="0" w:line="176" w:lineRule="exact"/>
              <w:rPr>
                <w:sz w:val="20"/>
                <w:szCs w:val="20"/>
                <w:color w:val="auto"/>
              </w:rPr>
            </w:pPr>
            <w:r>
              <w:rPr>
                <w:rFonts w:ascii="Arial" w:cs="Arial" w:eastAsia="Arial" w:hAnsi="Arial"/>
                <w:sz w:val="18"/>
                <w:szCs w:val="18"/>
                <w:color w:val="auto"/>
              </w:rPr>
              <w:t>Right-of-Use Asset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80" w:type="dxa"/>
            <w:vAlign w:val="bottom"/>
          </w:tcPr>
          <w:p>
            <w:pPr>
              <w:ind w:left="20"/>
              <w:spacing w:after="0"/>
              <w:rPr>
                <w:sz w:val="20"/>
                <w:szCs w:val="20"/>
                <w:color w:val="auto"/>
              </w:rPr>
            </w:pPr>
            <w:r>
              <w:rPr>
                <w:rFonts w:ascii="Arial" w:cs="Arial" w:eastAsia="Arial" w:hAnsi="Arial"/>
                <w:sz w:val="18"/>
                <w:szCs w:val="18"/>
                <w:color w:val="auto"/>
              </w:rPr>
              <w:t>Impairment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ind w:left="6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2,285</w:t>
            </w: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655</w:t>
            </w:r>
          </w:p>
        </w:tc>
        <w:tc>
          <w:tcPr>
            <w:tcW w:w="280" w:type="dxa"/>
            <w:vAlign w:val="bottom"/>
          </w:tcPr>
          <w:p>
            <w:pPr>
              <w:spacing w:after="0"/>
              <w:rPr>
                <w:sz w:val="21"/>
                <w:szCs w:val="21"/>
                <w:color w:val="auto"/>
              </w:rPr>
            </w:pPr>
          </w:p>
        </w:tc>
        <w:tc>
          <w:tcPr>
            <w:tcW w:w="1160" w:type="dxa"/>
            <w:vAlign w:val="bottom"/>
          </w:tcPr>
          <w:p>
            <w:pPr>
              <w:ind w:left="6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2,940</w:t>
            </w:r>
          </w:p>
        </w:tc>
        <w:tc>
          <w:tcPr>
            <w:tcW w:w="0" w:type="dxa"/>
            <w:vAlign w:val="bottom"/>
          </w:tcPr>
          <w:p>
            <w:pPr>
              <w:spacing w:after="0"/>
              <w:rPr>
                <w:sz w:val="1"/>
                <w:szCs w:val="1"/>
                <w:color w:val="auto"/>
              </w:rPr>
            </w:pPr>
          </w:p>
        </w:tc>
      </w:tr>
      <w:tr>
        <w:trPr>
          <w:trHeight w:val="175"/>
        </w:trPr>
        <w:tc>
          <w:tcPr>
            <w:tcW w:w="22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Property and Equipment</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3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30"/>
        </w:trPr>
        <w:tc>
          <w:tcPr>
            <w:tcW w:w="2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6"/>
              </w:rPr>
              <w:t>Other Restructuring Activities</w:t>
            </w: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48"/>
        </w:trPr>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Total Restructuring Expenses</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1,958</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 $</w:t>
            </w:r>
          </w:p>
        </w:tc>
        <w:tc>
          <w:tcPr>
            <w:tcW w:w="114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 $</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8,343</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 $</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9,001</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accrual and payment activity related to the restructuring program for the nine months ended September 30, 2023:</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Severance</w:t>
            </w:r>
          </w:p>
        </w:tc>
        <w:tc>
          <w:tcPr>
            <w:tcW w:w="220" w:type="dxa"/>
            <w:vAlign w:val="bottom"/>
          </w:tcPr>
          <w:p>
            <w:pPr>
              <w:spacing w:after="0"/>
              <w:rPr>
                <w:sz w:val="14"/>
                <w:szCs w:val="14"/>
                <w:color w:val="auto"/>
              </w:rPr>
            </w:pPr>
          </w:p>
        </w:tc>
        <w:tc>
          <w:tcPr>
            <w:tcW w:w="1620" w:type="dxa"/>
            <w:vAlign w:val="bottom"/>
          </w:tcPr>
          <w:p>
            <w:pPr>
              <w:jc w:val="right"/>
              <w:ind w:right="196"/>
              <w:spacing w:after="0"/>
              <w:rPr>
                <w:sz w:val="20"/>
                <w:szCs w:val="20"/>
                <w:color w:val="auto"/>
              </w:rPr>
            </w:pPr>
            <w:r>
              <w:rPr>
                <w:rFonts w:ascii="Arial" w:cs="Arial" w:eastAsia="Arial" w:hAnsi="Arial"/>
                <w:sz w:val="14"/>
                <w:szCs w:val="14"/>
                <w:b w:val="1"/>
                <w:bCs w:val="1"/>
                <w:color w:val="auto"/>
                <w:w w:val="99"/>
              </w:rPr>
              <w:t>Other Restructuring</w:t>
            </w:r>
          </w:p>
        </w:tc>
        <w:tc>
          <w:tcPr>
            <w:tcW w:w="440" w:type="dxa"/>
            <w:vAlign w:val="bottom"/>
          </w:tcPr>
          <w:p>
            <w:pPr>
              <w:spacing w:after="0"/>
              <w:rPr>
                <w:sz w:val="14"/>
                <w:szCs w:val="14"/>
                <w:color w:val="auto"/>
              </w:rPr>
            </w:pPr>
          </w:p>
        </w:tc>
        <w:tc>
          <w:tcPr>
            <w:tcW w:w="126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auto"/>
            </w:tcBorders>
            <w:vMerge w:val="continue"/>
          </w:tcPr>
          <w:p>
            <w:pPr>
              <w:spacing w:after="0"/>
              <w:rPr>
                <w:sz w:val="16"/>
                <w:szCs w:val="16"/>
                <w:color w:val="auto"/>
              </w:rPr>
            </w:pPr>
          </w:p>
        </w:tc>
        <w:tc>
          <w:tcPr>
            <w:tcW w:w="2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Activities</w:t>
            </w:r>
          </w:p>
        </w:tc>
        <w:tc>
          <w:tcPr>
            <w:tcW w:w="4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2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center"/>
              <w:ind w:left="654"/>
              <w:spacing w:after="0"/>
              <w:rPr>
                <w:sz w:val="20"/>
                <w:szCs w:val="20"/>
                <w:color w:val="auto"/>
              </w:rPr>
            </w:pPr>
            <w:r>
              <w:rPr>
                <w:rFonts w:ascii="Arial" w:cs="Arial" w:eastAsia="Arial" w:hAnsi="Arial"/>
                <w:sz w:val="18"/>
                <w:szCs w:val="18"/>
                <w:color w:val="auto"/>
                <w:w w:val="88"/>
              </w:rPr>
              <w:t>3,061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42</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center"/>
              <w:ind w:left="614"/>
              <w:spacing w:after="0"/>
              <w:rPr>
                <w:sz w:val="20"/>
                <w:szCs w:val="20"/>
                <w:color w:val="auto"/>
              </w:rPr>
            </w:pPr>
            <w:r>
              <w:rPr>
                <w:rFonts w:ascii="Arial" w:cs="Arial" w:eastAsia="Arial" w:hAnsi="Arial"/>
                <w:sz w:val="18"/>
                <w:szCs w:val="18"/>
                <w:color w:val="auto"/>
                <w:w w:val="88"/>
              </w:rPr>
              <w:t>3,103</w:t>
            </w: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rPr>
                <w:sz w:val="20"/>
                <w:szCs w:val="20"/>
                <w:color w:val="auto"/>
              </w:rPr>
            </w:pPr>
            <w:r>
              <w:rPr>
                <w:rFonts w:ascii="Arial" w:cs="Arial" w:eastAsia="Arial" w:hAnsi="Arial"/>
                <w:sz w:val="18"/>
                <w:szCs w:val="18"/>
                <w:color w:val="auto"/>
              </w:rPr>
              <w:t>Charges</w:t>
            </w:r>
          </w:p>
        </w:tc>
        <w:tc>
          <w:tcPr>
            <w:tcW w:w="2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center"/>
              <w:ind w:left="654"/>
              <w:spacing w:after="0"/>
              <w:rPr>
                <w:sz w:val="20"/>
                <w:szCs w:val="20"/>
                <w:color w:val="auto"/>
              </w:rPr>
            </w:pPr>
            <w:r>
              <w:rPr>
                <w:rFonts w:ascii="Arial" w:cs="Arial" w:eastAsia="Arial" w:hAnsi="Arial"/>
                <w:sz w:val="18"/>
                <w:szCs w:val="18"/>
                <w:color w:val="auto"/>
                <w:w w:val="88"/>
              </w:rPr>
              <w:t>1,983</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(25)</w:t>
            </w:r>
          </w:p>
        </w:tc>
        <w:tc>
          <w:tcPr>
            <w:tcW w:w="440" w:type="dxa"/>
            <w:vAlign w:val="bottom"/>
          </w:tcPr>
          <w:p>
            <w:pPr>
              <w:spacing w:after="0"/>
              <w:rPr>
                <w:sz w:val="19"/>
                <w:szCs w:val="19"/>
                <w:color w:val="auto"/>
              </w:rPr>
            </w:pPr>
          </w:p>
        </w:tc>
        <w:tc>
          <w:tcPr>
            <w:tcW w:w="1260" w:type="dxa"/>
            <w:vAlign w:val="bottom"/>
          </w:tcPr>
          <w:p>
            <w:pPr>
              <w:jc w:val="center"/>
              <w:ind w:left="614"/>
              <w:spacing w:after="0"/>
              <w:rPr>
                <w:sz w:val="20"/>
                <w:szCs w:val="20"/>
                <w:color w:val="auto"/>
              </w:rPr>
            </w:pPr>
            <w:r>
              <w:rPr>
                <w:rFonts w:ascii="Arial" w:cs="Arial" w:eastAsia="Arial" w:hAnsi="Arial"/>
                <w:sz w:val="18"/>
                <w:szCs w:val="18"/>
                <w:color w:val="auto"/>
                <w:w w:val="88"/>
              </w:rPr>
              <w:t>1,958</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Payments</w:t>
            </w:r>
          </w:p>
        </w:tc>
        <w:tc>
          <w:tcPr>
            <w:tcW w:w="2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center"/>
              <w:ind w:left="614"/>
              <w:spacing w:after="0"/>
              <w:rPr>
                <w:sz w:val="20"/>
                <w:szCs w:val="20"/>
                <w:color w:val="auto"/>
              </w:rPr>
            </w:pPr>
            <w:r>
              <w:rPr>
                <w:rFonts w:ascii="Arial" w:cs="Arial" w:eastAsia="Arial" w:hAnsi="Arial"/>
                <w:sz w:val="18"/>
                <w:szCs w:val="18"/>
                <w:color w:val="auto"/>
                <w:w w:val="91"/>
              </w:rPr>
              <w:t>(2,657)</w:t>
            </w:r>
          </w:p>
        </w:tc>
        <w:tc>
          <w:tcPr>
            <w:tcW w:w="2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center"/>
              <w:ind w:left="594"/>
              <w:spacing w:after="0"/>
              <w:rPr>
                <w:sz w:val="20"/>
                <w:szCs w:val="20"/>
                <w:color w:val="auto"/>
              </w:rPr>
            </w:pPr>
            <w:r>
              <w:rPr>
                <w:rFonts w:ascii="Arial" w:cs="Arial" w:eastAsia="Arial" w:hAnsi="Arial"/>
                <w:sz w:val="18"/>
                <w:szCs w:val="18"/>
                <w:color w:val="auto"/>
                <w:w w:val="94"/>
              </w:rPr>
              <w:t>(2,661)</w:t>
            </w:r>
          </w:p>
        </w:tc>
        <w:tc>
          <w:tcPr>
            <w:tcW w:w="0" w:type="dxa"/>
            <w:vAlign w:val="bottom"/>
          </w:tcPr>
          <w:p>
            <w:pPr>
              <w:spacing w:after="0"/>
              <w:rPr>
                <w:sz w:val="1"/>
                <w:szCs w:val="1"/>
                <w:color w:val="auto"/>
              </w:rPr>
            </w:pPr>
          </w:p>
        </w:tc>
      </w:tr>
      <w:tr>
        <w:trPr>
          <w:trHeight w:val="223"/>
        </w:trPr>
        <w:tc>
          <w:tcPr>
            <w:tcW w:w="3900" w:type="dxa"/>
            <w:vAlign w:val="bottom"/>
          </w:tcPr>
          <w:p>
            <w:pPr>
              <w:ind w:left="20"/>
              <w:spacing w:after="0"/>
              <w:rPr>
                <w:sz w:val="20"/>
                <w:szCs w:val="20"/>
                <w:color w:val="auto"/>
              </w:rPr>
            </w:pPr>
            <w:r>
              <w:rPr>
                <w:rFonts w:ascii="Arial" w:cs="Arial" w:eastAsia="Arial" w:hAnsi="Arial"/>
                <w:sz w:val="18"/>
                <w:szCs w:val="18"/>
                <w:color w:val="auto"/>
              </w:rPr>
              <w:t>Balance at September 30, 2023</w:t>
            </w:r>
          </w:p>
        </w:tc>
        <w:tc>
          <w:tcPr>
            <w:tcW w:w="2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center"/>
              <w:ind w:left="654"/>
              <w:spacing w:after="0"/>
              <w:rPr>
                <w:sz w:val="20"/>
                <w:szCs w:val="20"/>
                <w:color w:val="auto"/>
              </w:rPr>
            </w:pPr>
            <w:r>
              <w:rPr>
                <w:rFonts w:ascii="Arial" w:cs="Arial" w:eastAsia="Arial" w:hAnsi="Arial"/>
                <w:sz w:val="18"/>
                <w:szCs w:val="18"/>
                <w:color w:val="auto"/>
                <w:w w:val="88"/>
              </w:rPr>
              <w:t>2,387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13</w:t>
            </w:r>
          </w:p>
        </w:tc>
        <w:tc>
          <w:tcPr>
            <w:tcW w:w="4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center"/>
              <w:ind w:left="614"/>
              <w:spacing w:after="0"/>
              <w:rPr>
                <w:sz w:val="20"/>
                <w:szCs w:val="20"/>
                <w:color w:val="auto"/>
              </w:rPr>
            </w:pPr>
            <w:r>
              <w:rPr>
                <w:rFonts w:ascii="Arial" w:cs="Arial" w:eastAsia="Arial" w:hAnsi="Arial"/>
                <w:sz w:val="18"/>
                <w:szCs w:val="18"/>
                <w:color w:val="auto"/>
                <w:w w:val="88"/>
              </w:rPr>
              <w:t>2,400</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120" w:type="dxa"/>
            <w:vAlign w:val="bottom"/>
            <w:vMerge w:val="restart"/>
          </w:tcPr>
          <w:p>
            <w:pPr>
              <w:jc w:val="right"/>
              <w:ind w:right="210"/>
              <w:spacing w:after="0"/>
              <w:rPr>
                <w:sz w:val="20"/>
                <w:szCs w:val="20"/>
                <w:color w:val="auto"/>
              </w:rPr>
            </w:pPr>
            <w:r>
              <w:rPr>
                <w:rFonts w:ascii="Arial" w:cs="Arial" w:eastAsia="Arial" w:hAnsi="Arial"/>
                <w:sz w:val="18"/>
                <w:szCs w:val="18"/>
                <w:color w:val="auto"/>
              </w:rPr>
              <w:t>19</w:t>
            </w: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390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00" w:type="dxa"/>
            <w:vAlign w:val="bottom"/>
            <w:tcBorders>
              <w:bottom w:val="single" w:sz="8" w:color="9A9A9A"/>
            </w:tcBorders>
          </w:tcPr>
          <w:p>
            <w:pPr>
              <w:spacing w:after="0"/>
              <w:rPr>
                <w:sz w:val="10"/>
                <w:szCs w:val="10"/>
                <w:color w:val="auto"/>
              </w:rPr>
            </w:pPr>
          </w:p>
        </w:tc>
        <w:tc>
          <w:tcPr>
            <w:tcW w:w="2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SEGMENTS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2023, the Company has two reportable segments: Progressive Leasing and Vive.</w:t>
      </w:r>
    </w:p>
    <w:p>
      <w:pPr>
        <w:spacing w:after="0" w:line="10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Progressive Leasing partners with traditional and e-commerce retailers, primarily in the consumer residential electronics, furniture and appliance, jewelry, mobile phones and accessories, mattresses, and automobile electronics and accessories industries to offer a lease-purchase solution primarily for customers who may not have access to traditional credit-based financing options. It does so by offering leases with monthly, semi-monthly, bi-weekly and weekly payment frequencies.</w:t>
      </w:r>
    </w:p>
    <w:p>
      <w:pPr>
        <w:spacing w:after="0" w:line="65"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Vive offers a variety of second-look financing programs originated through third-party federally insured banks to customers of participating merchants and, together with Progressive Leasing, allows the Company to provide POS partners with near-prime and below-prime customers one source for financing and leasing transactions.</w:t>
      </w:r>
    </w:p>
    <w:p>
      <w:pPr>
        <w:spacing w:after="0" w:line="49"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color w:val="auto"/>
        </w:rPr>
        <w:t>Four is an innovative BNPL company that allows shoppers to pay for merchandise through four interest-free installments. Four is not a reportable segment for the three and nine month periods ended September 30, 2023 and 2022 as its financial results are not material to the Company's condensed consolidated financial results. The revenues, loss before income taxes, and assets within Other below are primarily comprised of the operating activities of Four.</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Disaggregated Revenue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revenue by source and by segment for the three months ended September 30, 2023 and 2022:</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40" w:type="dxa"/>
            <w:vAlign w:val="bottom"/>
            <w:gridSpan w:val="4"/>
          </w:tcPr>
          <w:p>
            <w:pPr>
              <w:jc w:val="right"/>
              <w:ind w:right="15"/>
              <w:spacing w:after="0"/>
              <w:rPr>
                <w:sz w:val="20"/>
                <w:szCs w:val="20"/>
                <w:color w:val="auto"/>
              </w:rPr>
            </w:pPr>
            <w:r>
              <w:rPr>
                <w:rFonts w:ascii="Arial" w:cs="Arial" w:eastAsia="Arial" w:hAnsi="Arial"/>
                <w:sz w:val="14"/>
                <w:szCs w:val="14"/>
                <w:b w:val="1"/>
                <w:bCs w:val="1"/>
                <w:color w:val="auto"/>
              </w:rPr>
              <w:t>Three Months Ended September 30, 2023</w:t>
            </w: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60" w:type="dxa"/>
            <w:vAlign w:val="bottom"/>
            <w:gridSpan w:val="4"/>
          </w:tcPr>
          <w:p>
            <w:pPr>
              <w:jc w:val="right"/>
              <w:ind w:right="35"/>
              <w:spacing w:after="0"/>
              <w:rPr>
                <w:sz w:val="20"/>
                <w:szCs w:val="20"/>
                <w:color w:val="auto"/>
              </w:rPr>
            </w:pPr>
            <w:r>
              <w:rPr>
                <w:rFonts w:ascii="Arial" w:cs="Arial" w:eastAsia="Arial" w:hAnsi="Arial"/>
                <w:sz w:val="14"/>
                <w:szCs w:val="14"/>
                <w:b w:val="1"/>
                <w:bCs w:val="1"/>
                <w:color w:val="auto"/>
              </w:rPr>
              <w:t>Three Months Ended September 30, 2022</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3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3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1"/>
                <w:szCs w:val="11"/>
                <w:color w:val="auto"/>
              </w:rPr>
            </w:pPr>
          </w:p>
        </w:tc>
        <w:tc>
          <w:tcPr>
            <w:tcW w:w="940" w:type="dxa"/>
            <w:vAlign w:val="bottom"/>
          </w:tcPr>
          <w:p>
            <w:pPr>
              <w:jc w:val="right"/>
              <w:ind w:right="99"/>
              <w:spacing w:after="0" w:line="133" w:lineRule="exact"/>
              <w:rPr>
                <w:sz w:val="20"/>
                <w:szCs w:val="20"/>
                <w:color w:val="auto"/>
              </w:rPr>
            </w:pPr>
            <w:r>
              <w:rPr>
                <w:rFonts w:ascii="Arial" w:cs="Arial" w:eastAsia="Arial" w:hAnsi="Arial"/>
                <w:sz w:val="14"/>
                <w:szCs w:val="14"/>
                <w:b w:val="1"/>
                <w:bCs w:val="1"/>
                <w:color w:val="auto"/>
                <w:w w:val="92"/>
              </w:rPr>
              <w:t>Progressive</w:t>
            </w:r>
          </w:p>
        </w:tc>
        <w:tc>
          <w:tcPr>
            <w:tcW w:w="280" w:type="dxa"/>
            <w:vAlign w:val="bottom"/>
          </w:tcPr>
          <w:p>
            <w:pPr>
              <w:spacing w:after="0"/>
              <w:rPr>
                <w:sz w:val="11"/>
                <w:szCs w:val="11"/>
                <w:color w:val="auto"/>
              </w:rPr>
            </w:pPr>
          </w:p>
        </w:tc>
        <w:tc>
          <w:tcPr>
            <w:tcW w:w="1080" w:type="dxa"/>
            <w:vAlign w:val="bottom"/>
            <w:vMerge w:val="restart"/>
          </w:tcPr>
          <w:p>
            <w:pPr>
              <w:jc w:val="right"/>
              <w:ind w:right="575"/>
              <w:spacing w:after="0"/>
              <w:rPr>
                <w:sz w:val="20"/>
                <w:szCs w:val="20"/>
                <w:color w:val="auto"/>
              </w:rPr>
            </w:pPr>
            <w:r>
              <w:rPr>
                <w:rFonts w:ascii="Arial" w:cs="Arial" w:eastAsia="Arial" w:hAnsi="Arial"/>
                <w:sz w:val="14"/>
                <w:szCs w:val="14"/>
                <w:b w:val="1"/>
                <w:bCs w:val="1"/>
                <w:color w:val="auto"/>
              </w:rPr>
              <w:t>Vive</w:t>
            </w:r>
          </w:p>
        </w:tc>
        <w:tc>
          <w:tcPr>
            <w:tcW w:w="1140" w:type="dxa"/>
            <w:vAlign w:val="bottom"/>
            <w:vMerge w:val="restart"/>
          </w:tcPr>
          <w:p>
            <w:pPr>
              <w:jc w:val="right"/>
              <w:ind w:right="575"/>
              <w:spacing w:after="0"/>
              <w:rPr>
                <w:sz w:val="20"/>
                <w:szCs w:val="20"/>
                <w:color w:val="auto"/>
              </w:rPr>
            </w:pPr>
            <w:r>
              <w:rPr>
                <w:rFonts w:ascii="Arial" w:cs="Arial" w:eastAsia="Arial" w:hAnsi="Arial"/>
                <w:sz w:val="14"/>
                <w:szCs w:val="14"/>
                <w:b w:val="1"/>
                <w:bCs w:val="1"/>
                <w:color w:val="auto"/>
              </w:rPr>
              <w:t>Other</w:t>
            </w:r>
          </w:p>
        </w:tc>
        <w:tc>
          <w:tcPr>
            <w:tcW w:w="80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1"/>
                <w:szCs w:val="11"/>
                <w:color w:val="auto"/>
              </w:rPr>
            </w:pPr>
          </w:p>
        </w:tc>
        <w:tc>
          <w:tcPr>
            <w:tcW w:w="940" w:type="dxa"/>
            <w:vAlign w:val="bottom"/>
          </w:tcPr>
          <w:p>
            <w:pPr>
              <w:jc w:val="right"/>
              <w:ind w:right="99"/>
              <w:spacing w:after="0" w:line="133" w:lineRule="exact"/>
              <w:rPr>
                <w:sz w:val="20"/>
                <w:szCs w:val="20"/>
                <w:color w:val="auto"/>
              </w:rPr>
            </w:pPr>
            <w:r>
              <w:rPr>
                <w:rFonts w:ascii="Arial" w:cs="Arial" w:eastAsia="Arial" w:hAnsi="Arial"/>
                <w:sz w:val="14"/>
                <w:szCs w:val="14"/>
                <w:b w:val="1"/>
                <w:bCs w:val="1"/>
                <w:color w:val="auto"/>
                <w:w w:val="92"/>
              </w:rPr>
              <w:t>Progressive</w:t>
            </w:r>
          </w:p>
        </w:tc>
        <w:tc>
          <w:tcPr>
            <w:tcW w:w="300" w:type="dxa"/>
            <w:vAlign w:val="bottom"/>
          </w:tcPr>
          <w:p>
            <w:pPr>
              <w:spacing w:after="0"/>
              <w:rPr>
                <w:sz w:val="11"/>
                <w:szCs w:val="11"/>
                <w:color w:val="auto"/>
              </w:rPr>
            </w:pPr>
          </w:p>
        </w:tc>
        <w:tc>
          <w:tcPr>
            <w:tcW w:w="1060" w:type="dxa"/>
            <w:vAlign w:val="bottom"/>
            <w:vMerge w:val="restart"/>
          </w:tcPr>
          <w:p>
            <w:pPr>
              <w:jc w:val="right"/>
              <w:ind w:right="555"/>
              <w:spacing w:after="0"/>
              <w:rPr>
                <w:sz w:val="20"/>
                <w:szCs w:val="20"/>
                <w:color w:val="auto"/>
              </w:rPr>
            </w:pPr>
            <w:r>
              <w:rPr>
                <w:rFonts w:ascii="Arial" w:cs="Arial" w:eastAsia="Arial" w:hAnsi="Arial"/>
                <w:sz w:val="14"/>
                <w:szCs w:val="14"/>
                <w:b w:val="1"/>
                <w:bCs w:val="1"/>
                <w:color w:val="auto"/>
              </w:rPr>
              <w:t>Vive</w:t>
            </w:r>
          </w:p>
        </w:tc>
        <w:tc>
          <w:tcPr>
            <w:tcW w:w="1160" w:type="dxa"/>
            <w:vAlign w:val="bottom"/>
            <w:vMerge w:val="restart"/>
          </w:tcPr>
          <w:p>
            <w:pPr>
              <w:jc w:val="right"/>
              <w:ind w:right="575"/>
              <w:spacing w:after="0"/>
              <w:rPr>
                <w:sz w:val="20"/>
                <w:szCs w:val="20"/>
                <w:color w:val="auto"/>
              </w:rPr>
            </w:pPr>
            <w:r>
              <w:rPr>
                <w:rFonts w:ascii="Arial" w:cs="Arial" w:eastAsia="Arial" w:hAnsi="Arial"/>
                <w:sz w:val="14"/>
                <w:szCs w:val="14"/>
                <w:b w:val="1"/>
                <w:bCs w:val="1"/>
                <w:color w:val="auto"/>
              </w:rPr>
              <w:t>Other</w:t>
            </w:r>
          </w:p>
        </w:tc>
        <w:tc>
          <w:tcPr>
            <w:tcW w:w="82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38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Leasing</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Leasing</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380" w:type="dxa"/>
            <w:vAlign w:val="bottom"/>
            <w:shd w:val="clear" w:color="auto" w:fill="CCEEFF"/>
          </w:tcPr>
          <w:p>
            <w:pPr>
              <w:ind w:left="20"/>
              <w:spacing w:after="0" w:line="229" w:lineRule="exact"/>
              <w:rPr>
                <w:sz w:val="20"/>
                <w:szCs w:val="20"/>
                <w:color w:val="auto"/>
              </w:rPr>
            </w:pPr>
            <w:r>
              <w:rPr>
                <w:rFonts w:ascii="Arial" w:cs="Arial" w:eastAsia="Arial" w:hAnsi="Arial"/>
                <w:sz w:val="18"/>
                <w:szCs w:val="18"/>
                <w:color w:val="auto"/>
              </w:rPr>
              <w:t>Lease Revenues and Fees</w:t>
            </w:r>
            <w:r>
              <w:rPr>
                <w:rFonts w:ascii="Arial" w:cs="Arial" w:eastAsia="Arial" w:hAnsi="Arial"/>
                <w:sz w:val="23"/>
                <w:szCs w:val="23"/>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564,183</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 $</w:t>
            </w:r>
          </w:p>
        </w:tc>
        <w:tc>
          <w:tcPr>
            <w:tcW w:w="114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 $</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564,183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606,585</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 $</w:t>
            </w:r>
          </w:p>
        </w:tc>
        <w:tc>
          <w:tcPr>
            <w:tcW w:w="116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 $</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606,585</w:t>
            </w:r>
          </w:p>
        </w:tc>
        <w:tc>
          <w:tcPr>
            <w:tcW w:w="0" w:type="dxa"/>
            <w:vAlign w:val="bottom"/>
          </w:tcPr>
          <w:p>
            <w:pPr>
              <w:spacing w:after="0"/>
              <w:rPr>
                <w:sz w:val="1"/>
                <w:szCs w:val="1"/>
                <w:color w:val="auto"/>
              </w:rPr>
            </w:pPr>
          </w:p>
        </w:tc>
      </w:tr>
      <w:tr>
        <w:trPr>
          <w:trHeight w:val="176"/>
        </w:trPr>
        <w:tc>
          <w:tcPr>
            <w:tcW w:w="2380" w:type="dxa"/>
            <w:vAlign w:val="bottom"/>
          </w:tcPr>
          <w:p>
            <w:pPr>
              <w:ind w:left="20"/>
              <w:spacing w:after="0" w:line="176" w:lineRule="exact"/>
              <w:rPr>
                <w:sz w:val="20"/>
                <w:szCs w:val="20"/>
                <w:color w:val="auto"/>
              </w:rPr>
            </w:pPr>
            <w:r>
              <w:rPr>
                <w:rFonts w:ascii="Arial" w:cs="Arial" w:eastAsia="Arial" w:hAnsi="Arial"/>
                <w:sz w:val="18"/>
                <w:szCs w:val="18"/>
                <w:color w:val="auto"/>
              </w:rPr>
              <w:t>Interest and Fees on Loans</w:t>
            </w: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80" w:type="dxa"/>
            <w:vAlign w:val="bottom"/>
            <w:tcBorders>
              <w:bottom w:val="single" w:sz="8" w:color="CCEEFF"/>
            </w:tcBorders>
          </w:tcPr>
          <w:p>
            <w:pPr>
              <w:ind w:left="20"/>
              <w:spacing w:after="0" w:line="243" w:lineRule="exact"/>
              <w:rPr>
                <w:sz w:val="20"/>
                <w:szCs w:val="20"/>
                <w:color w:val="auto"/>
              </w:rPr>
            </w:pPr>
            <w:r>
              <w:rPr>
                <w:rFonts w:ascii="Arial" w:cs="Arial" w:eastAsia="Arial" w:hAnsi="Arial"/>
                <w:sz w:val="18"/>
                <w:szCs w:val="18"/>
                <w:color w:val="auto"/>
              </w:rPr>
              <w:t>Receivable</w:t>
            </w:r>
            <w:r>
              <w:rPr>
                <w:rFonts w:ascii="Arial" w:cs="Arial" w:eastAsia="Arial" w:hAnsi="Arial"/>
                <w:sz w:val="23"/>
                <w:szCs w:val="23"/>
                <w:color w:val="auto"/>
                <w:vertAlign w:val="superscript"/>
              </w:rPr>
              <w:t>2</w:t>
            </w: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35"/>
              <w:spacing w:after="0"/>
              <w:rPr>
                <w:sz w:val="20"/>
                <w:szCs w:val="20"/>
                <w:color w:val="auto"/>
              </w:rPr>
            </w:pPr>
            <w:r>
              <w:rPr>
                <w:rFonts w:ascii="Arial" w:cs="Arial" w:eastAsia="Arial" w:hAnsi="Arial"/>
                <w:sz w:val="18"/>
                <w:szCs w:val="18"/>
                <w:color w:val="auto"/>
              </w:rPr>
              <w:t>17,547</w:t>
            </w:r>
          </w:p>
        </w:tc>
        <w:tc>
          <w:tcPr>
            <w:tcW w:w="1140" w:type="dxa"/>
            <w:vAlign w:val="bottom"/>
            <w:tcBorders>
              <w:bottom w:val="single" w:sz="8" w:color="auto"/>
            </w:tcBorders>
          </w:tcPr>
          <w:p>
            <w:pPr>
              <w:jc w:val="right"/>
              <w:ind w:right="275"/>
              <w:spacing w:after="0"/>
              <w:rPr>
                <w:sz w:val="20"/>
                <w:szCs w:val="20"/>
                <w:color w:val="auto"/>
              </w:rPr>
            </w:pPr>
            <w:r>
              <w:rPr>
                <w:rFonts w:ascii="Arial" w:cs="Arial" w:eastAsia="Arial" w:hAnsi="Arial"/>
                <w:sz w:val="18"/>
                <w:szCs w:val="18"/>
                <w:color w:val="auto"/>
              </w:rPr>
              <w:t>1,147</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18,694</w:t>
            </w: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15"/>
              <w:spacing w:after="0"/>
              <w:rPr>
                <w:sz w:val="20"/>
                <w:szCs w:val="20"/>
                <w:color w:val="auto"/>
              </w:rPr>
            </w:pPr>
            <w:r>
              <w:rPr>
                <w:rFonts w:ascii="Arial" w:cs="Arial" w:eastAsia="Arial" w:hAnsi="Arial"/>
                <w:sz w:val="18"/>
                <w:szCs w:val="18"/>
                <w:color w:val="auto"/>
              </w:rPr>
              <w:t>18,392</w:t>
            </w:r>
          </w:p>
        </w:tc>
        <w:tc>
          <w:tcPr>
            <w:tcW w:w="1160" w:type="dxa"/>
            <w:vAlign w:val="bottom"/>
            <w:tcBorders>
              <w:bottom w:val="single" w:sz="8" w:color="auto"/>
            </w:tcBorders>
          </w:tcPr>
          <w:p>
            <w:pPr>
              <w:jc w:val="right"/>
              <w:ind w:right="295"/>
              <w:spacing w:after="0"/>
              <w:rPr>
                <w:sz w:val="20"/>
                <w:szCs w:val="20"/>
                <w:color w:val="auto"/>
              </w:rPr>
            </w:pPr>
            <w:r>
              <w:rPr>
                <w:rFonts w:ascii="Arial" w:cs="Arial" w:eastAsia="Arial" w:hAnsi="Arial"/>
                <w:sz w:val="18"/>
                <w:szCs w:val="18"/>
                <w:color w:val="auto"/>
              </w:rPr>
              <w:t>844</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19,236</w:t>
            </w:r>
          </w:p>
        </w:tc>
        <w:tc>
          <w:tcPr>
            <w:tcW w:w="0" w:type="dxa"/>
            <w:vAlign w:val="bottom"/>
          </w:tcPr>
          <w:p>
            <w:pPr>
              <w:spacing w:after="0"/>
              <w:rPr>
                <w:sz w:val="1"/>
                <w:szCs w:val="1"/>
                <w:color w:val="auto"/>
              </w:rPr>
            </w:pPr>
          </w:p>
        </w:tc>
      </w:tr>
      <w:tr>
        <w:trPr>
          <w:trHeight w:val="248"/>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564,183</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17,547 $</w:t>
            </w:r>
          </w:p>
        </w:tc>
        <w:tc>
          <w:tcPr>
            <w:tcW w:w="114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1,147 $</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582,877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606,585</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18,392 $</w:t>
            </w:r>
          </w:p>
        </w:tc>
        <w:tc>
          <w:tcPr>
            <w:tcW w:w="116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rPr>
              <w:t>844 $</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625,821</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80" w:hanging="72"/>
        <w:spacing w:after="0"/>
        <w:tabs>
          <w:tab w:leader="none" w:pos="80" w:val="left"/>
        </w:tabs>
        <w:numPr>
          <w:ilvl w:val="0"/>
          <w:numId w:val="5"/>
        </w:numPr>
        <w:rPr>
          <w:rFonts w:ascii="Arial" w:cs="Arial" w:eastAsia="Arial" w:hAnsi="Arial"/>
          <w:sz w:val="19"/>
          <w:szCs w:val="19"/>
          <w:color w:val="auto"/>
          <w:vertAlign w:val="superscript"/>
        </w:rPr>
      </w:pPr>
      <w:r>
        <w:rPr>
          <w:rFonts w:ascii="Arial" w:cs="Arial" w:eastAsia="Arial" w:hAnsi="Arial"/>
          <w:sz w:val="14"/>
          <w:szCs w:val="14"/>
          <w:color w:val="auto"/>
        </w:rPr>
        <w:t xml:space="preserve">Revenue within the scope of ASC 842, </w:t>
      </w:r>
      <w:r>
        <w:rPr>
          <w:rFonts w:ascii="Arial" w:cs="Arial" w:eastAsia="Arial" w:hAnsi="Arial"/>
          <w:sz w:val="14"/>
          <w:szCs w:val="14"/>
          <w:i w:val="1"/>
          <w:iCs w:val="1"/>
          <w:color w:val="auto"/>
        </w:rPr>
        <w:t>Leases</w:t>
      </w:r>
      <w:r>
        <w:rPr>
          <w:rFonts w:ascii="Arial" w:cs="Arial" w:eastAsia="Arial" w:hAnsi="Arial"/>
          <w:sz w:val="14"/>
          <w:szCs w:val="14"/>
          <w:color w:val="auto"/>
        </w:rPr>
        <w:t>.</w:t>
      </w:r>
    </w:p>
    <w:p>
      <w:pPr>
        <w:spacing w:after="0" w:line="46" w:lineRule="exact"/>
        <w:rPr>
          <w:sz w:val="20"/>
          <w:szCs w:val="20"/>
          <w:color w:val="auto"/>
        </w:rPr>
      </w:pPr>
    </w:p>
    <w:p>
      <w:pPr>
        <w:ind w:left="80" w:hanging="72"/>
        <w:spacing w:after="0"/>
        <w:tabs>
          <w:tab w:leader="none" w:pos="80" w:val="left"/>
        </w:tabs>
        <w:numPr>
          <w:ilvl w:val="0"/>
          <w:numId w:val="6"/>
        </w:numPr>
        <w:rPr>
          <w:rFonts w:ascii="Arial" w:cs="Arial" w:eastAsia="Arial" w:hAnsi="Arial"/>
          <w:sz w:val="9"/>
          <w:szCs w:val="9"/>
          <w:color w:val="auto"/>
        </w:rPr>
      </w:pPr>
      <w:r>
        <w:rPr>
          <w:rFonts w:ascii="Arial" w:cs="Arial" w:eastAsia="Arial" w:hAnsi="Arial"/>
          <w:sz w:val="14"/>
          <w:szCs w:val="14"/>
          <w:color w:val="auto"/>
        </w:rPr>
        <w:t xml:space="preserve">Revenue within the scope of ASC 310, </w:t>
      </w:r>
      <w:r>
        <w:rPr>
          <w:rFonts w:ascii="Arial" w:cs="Arial" w:eastAsia="Arial" w:hAnsi="Arial"/>
          <w:sz w:val="14"/>
          <w:szCs w:val="14"/>
          <w:i w:val="1"/>
          <w:iCs w:val="1"/>
          <w:color w:val="auto"/>
        </w:rPr>
        <w:t>Receivables</w:t>
      </w:r>
      <w:r>
        <w:rPr>
          <w:rFonts w:ascii="Arial" w:cs="Arial" w:eastAsia="Arial" w:hAnsi="Arial"/>
          <w:sz w:val="14"/>
          <w:szCs w:val="14"/>
          <w:color w:val="auto"/>
        </w:rPr>
        <w: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revenue by source and by segment for the nine months ended September 30, 2023 and 2022:</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380" w:type="dxa"/>
            <w:vAlign w:val="bottom"/>
            <w:gridSpan w:val="4"/>
          </w:tcPr>
          <w:p>
            <w:pPr>
              <w:jc w:val="right"/>
              <w:spacing w:after="0"/>
              <w:rPr>
                <w:sz w:val="20"/>
                <w:szCs w:val="20"/>
                <w:color w:val="auto"/>
              </w:rPr>
            </w:pPr>
            <w:r>
              <w:rPr>
                <w:rFonts w:ascii="Arial" w:cs="Arial" w:eastAsia="Arial" w:hAnsi="Arial"/>
                <w:sz w:val="14"/>
                <w:szCs w:val="14"/>
                <w:b w:val="1"/>
                <w:bCs w:val="1"/>
                <w:color w:val="auto"/>
              </w:rPr>
              <w:t>Nine Months Ended September 30, 2023</w:t>
            </w: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0" w:type="dxa"/>
            <w:vAlign w:val="bottom"/>
            <w:gridSpan w:val="4"/>
          </w:tcPr>
          <w:p>
            <w:pPr>
              <w:jc w:val="right"/>
              <w:ind w:right="15"/>
              <w:spacing w:after="0"/>
              <w:rPr>
                <w:sz w:val="20"/>
                <w:szCs w:val="20"/>
                <w:color w:val="auto"/>
              </w:rPr>
            </w:pPr>
            <w:r>
              <w:rPr>
                <w:rFonts w:ascii="Arial" w:cs="Arial" w:eastAsia="Arial" w:hAnsi="Arial"/>
                <w:sz w:val="14"/>
                <w:szCs w:val="14"/>
                <w:b w:val="1"/>
                <w:bCs w:val="1"/>
                <w:color w:val="auto"/>
              </w:rPr>
              <w:t>Nine Months Ended September 30, 2022</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3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3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1"/>
                <w:szCs w:val="11"/>
                <w:color w:val="auto"/>
              </w:rPr>
            </w:pPr>
          </w:p>
        </w:tc>
        <w:tc>
          <w:tcPr>
            <w:tcW w:w="940" w:type="dxa"/>
            <w:vAlign w:val="bottom"/>
          </w:tcPr>
          <w:p>
            <w:pPr>
              <w:jc w:val="right"/>
              <w:ind w:right="99"/>
              <w:spacing w:after="0" w:line="133" w:lineRule="exact"/>
              <w:rPr>
                <w:sz w:val="20"/>
                <w:szCs w:val="20"/>
                <w:color w:val="auto"/>
              </w:rPr>
            </w:pPr>
            <w:r>
              <w:rPr>
                <w:rFonts w:ascii="Arial" w:cs="Arial" w:eastAsia="Arial" w:hAnsi="Arial"/>
                <w:sz w:val="14"/>
                <w:szCs w:val="14"/>
                <w:b w:val="1"/>
                <w:bCs w:val="1"/>
                <w:color w:val="auto"/>
                <w:w w:val="92"/>
              </w:rPr>
              <w:t>Progressive</w:t>
            </w:r>
          </w:p>
        </w:tc>
        <w:tc>
          <w:tcPr>
            <w:tcW w:w="280" w:type="dxa"/>
            <w:vAlign w:val="bottom"/>
          </w:tcPr>
          <w:p>
            <w:pPr>
              <w:spacing w:after="0"/>
              <w:rPr>
                <w:sz w:val="11"/>
                <w:szCs w:val="11"/>
                <w:color w:val="auto"/>
              </w:rPr>
            </w:pPr>
          </w:p>
        </w:tc>
        <w:tc>
          <w:tcPr>
            <w:tcW w:w="1080" w:type="dxa"/>
            <w:vAlign w:val="bottom"/>
            <w:vMerge w:val="restart"/>
          </w:tcPr>
          <w:p>
            <w:pPr>
              <w:jc w:val="right"/>
              <w:ind w:right="575"/>
              <w:spacing w:after="0"/>
              <w:rPr>
                <w:sz w:val="20"/>
                <w:szCs w:val="20"/>
                <w:color w:val="auto"/>
              </w:rPr>
            </w:pPr>
            <w:r>
              <w:rPr>
                <w:rFonts w:ascii="Arial" w:cs="Arial" w:eastAsia="Arial" w:hAnsi="Arial"/>
                <w:sz w:val="14"/>
                <w:szCs w:val="14"/>
                <w:b w:val="1"/>
                <w:bCs w:val="1"/>
                <w:color w:val="auto"/>
              </w:rPr>
              <w:t>Vive</w:t>
            </w:r>
          </w:p>
        </w:tc>
        <w:tc>
          <w:tcPr>
            <w:tcW w:w="1080" w:type="dxa"/>
            <w:vAlign w:val="bottom"/>
            <w:vMerge w:val="restart"/>
          </w:tcPr>
          <w:p>
            <w:pPr>
              <w:jc w:val="right"/>
              <w:ind w:right="515"/>
              <w:spacing w:after="0"/>
              <w:rPr>
                <w:sz w:val="20"/>
                <w:szCs w:val="20"/>
                <w:color w:val="auto"/>
              </w:rPr>
            </w:pPr>
            <w:r>
              <w:rPr>
                <w:rFonts w:ascii="Arial" w:cs="Arial" w:eastAsia="Arial" w:hAnsi="Arial"/>
                <w:sz w:val="14"/>
                <w:szCs w:val="14"/>
                <w:b w:val="1"/>
                <w:bCs w:val="1"/>
                <w:color w:val="auto"/>
              </w:rPr>
              <w:t>Other</w:t>
            </w:r>
          </w:p>
        </w:tc>
        <w:tc>
          <w:tcPr>
            <w:tcW w:w="86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1"/>
                <w:szCs w:val="11"/>
                <w:color w:val="auto"/>
              </w:rPr>
            </w:pPr>
          </w:p>
        </w:tc>
        <w:tc>
          <w:tcPr>
            <w:tcW w:w="940" w:type="dxa"/>
            <w:vAlign w:val="bottom"/>
          </w:tcPr>
          <w:p>
            <w:pPr>
              <w:jc w:val="right"/>
              <w:ind w:right="99"/>
              <w:spacing w:after="0" w:line="133" w:lineRule="exact"/>
              <w:rPr>
                <w:sz w:val="20"/>
                <w:szCs w:val="20"/>
                <w:color w:val="auto"/>
              </w:rPr>
            </w:pPr>
            <w:r>
              <w:rPr>
                <w:rFonts w:ascii="Arial" w:cs="Arial" w:eastAsia="Arial" w:hAnsi="Arial"/>
                <w:sz w:val="14"/>
                <w:szCs w:val="14"/>
                <w:b w:val="1"/>
                <w:bCs w:val="1"/>
                <w:color w:val="auto"/>
                <w:w w:val="92"/>
              </w:rPr>
              <w:t>Progressive</w:t>
            </w:r>
          </w:p>
        </w:tc>
        <w:tc>
          <w:tcPr>
            <w:tcW w:w="300" w:type="dxa"/>
            <w:vAlign w:val="bottom"/>
          </w:tcPr>
          <w:p>
            <w:pPr>
              <w:spacing w:after="0"/>
              <w:rPr>
                <w:sz w:val="11"/>
                <w:szCs w:val="11"/>
                <w:color w:val="auto"/>
              </w:rPr>
            </w:pPr>
          </w:p>
        </w:tc>
        <w:tc>
          <w:tcPr>
            <w:tcW w:w="1060" w:type="dxa"/>
            <w:vAlign w:val="bottom"/>
            <w:vMerge w:val="restart"/>
          </w:tcPr>
          <w:p>
            <w:pPr>
              <w:jc w:val="right"/>
              <w:ind w:right="555"/>
              <w:spacing w:after="0"/>
              <w:rPr>
                <w:sz w:val="20"/>
                <w:szCs w:val="20"/>
                <w:color w:val="auto"/>
              </w:rPr>
            </w:pPr>
            <w:r>
              <w:rPr>
                <w:rFonts w:ascii="Arial" w:cs="Arial" w:eastAsia="Arial" w:hAnsi="Arial"/>
                <w:sz w:val="14"/>
                <w:szCs w:val="14"/>
                <w:b w:val="1"/>
                <w:bCs w:val="1"/>
                <w:color w:val="auto"/>
              </w:rPr>
              <w:t>Vive</w:t>
            </w:r>
          </w:p>
        </w:tc>
        <w:tc>
          <w:tcPr>
            <w:tcW w:w="1100" w:type="dxa"/>
            <w:vAlign w:val="bottom"/>
            <w:vMerge w:val="restart"/>
          </w:tcPr>
          <w:p>
            <w:pPr>
              <w:jc w:val="right"/>
              <w:ind w:right="515"/>
              <w:spacing w:after="0"/>
              <w:rPr>
                <w:sz w:val="20"/>
                <w:szCs w:val="20"/>
                <w:color w:val="auto"/>
              </w:rPr>
            </w:pPr>
            <w:r>
              <w:rPr>
                <w:rFonts w:ascii="Arial" w:cs="Arial" w:eastAsia="Arial" w:hAnsi="Arial"/>
                <w:sz w:val="14"/>
                <w:szCs w:val="14"/>
                <w:b w:val="1"/>
                <w:bCs w:val="1"/>
                <w:color w:val="auto"/>
              </w:rPr>
              <w:t>Other</w:t>
            </w:r>
          </w:p>
        </w:tc>
        <w:tc>
          <w:tcPr>
            <w:tcW w:w="88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38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Leasing</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Leasing</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380" w:type="dxa"/>
            <w:vAlign w:val="bottom"/>
            <w:shd w:val="clear" w:color="auto" w:fill="CCEEFF"/>
          </w:tcPr>
          <w:p>
            <w:pPr>
              <w:ind w:left="20"/>
              <w:spacing w:after="0" w:line="229" w:lineRule="exact"/>
              <w:rPr>
                <w:sz w:val="20"/>
                <w:szCs w:val="20"/>
                <w:color w:val="auto"/>
              </w:rPr>
            </w:pPr>
            <w:r>
              <w:rPr>
                <w:rFonts w:ascii="Arial" w:cs="Arial" w:eastAsia="Arial" w:hAnsi="Arial"/>
                <w:sz w:val="18"/>
                <w:szCs w:val="18"/>
                <w:color w:val="auto"/>
              </w:rPr>
              <w:t>Lease Revenues and Fees</w:t>
            </w:r>
            <w:r>
              <w:rPr>
                <w:rFonts w:ascii="Arial" w:cs="Arial" w:eastAsia="Arial" w:hAnsi="Arial"/>
                <w:sz w:val="23"/>
                <w:szCs w:val="23"/>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1,776,104</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 $</w:t>
            </w:r>
          </w:p>
        </w:tc>
        <w:tc>
          <w:tcPr>
            <w:tcW w:w="10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 $</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1,776,104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1,930,843</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 $</w:t>
            </w:r>
          </w:p>
        </w:tc>
        <w:tc>
          <w:tcPr>
            <w:tcW w:w="11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 $</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1,930,843</w:t>
            </w:r>
          </w:p>
        </w:tc>
        <w:tc>
          <w:tcPr>
            <w:tcW w:w="0" w:type="dxa"/>
            <w:vAlign w:val="bottom"/>
          </w:tcPr>
          <w:p>
            <w:pPr>
              <w:spacing w:after="0"/>
              <w:rPr>
                <w:sz w:val="1"/>
                <w:szCs w:val="1"/>
                <w:color w:val="auto"/>
              </w:rPr>
            </w:pPr>
          </w:p>
        </w:tc>
      </w:tr>
      <w:tr>
        <w:trPr>
          <w:trHeight w:val="183"/>
        </w:trPr>
        <w:tc>
          <w:tcPr>
            <w:tcW w:w="2380" w:type="dxa"/>
            <w:vAlign w:val="bottom"/>
          </w:tcPr>
          <w:p>
            <w:pPr>
              <w:ind w:left="20"/>
              <w:spacing w:after="0" w:line="182" w:lineRule="exact"/>
              <w:rPr>
                <w:sz w:val="20"/>
                <w:szCs w:val="20"/>
                <w:color w:val="auto"/>
              </w:rPr>
            </w:pPr>
            <w:r>
              <w:rPr>
                <w:rFonts w:ascii="Arial" w:cs="Arial" w:eastAsia="Arial" w:hAnsi="Arial"/>
                <w:sz w:val="18"/>
                <w:szCs w:val="18"/>
                <w:color w:val="auto"/>
              </w:rPr>
              <w:t>Interest and Fees on Loans</w:t>
            </w: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380" w:type="dxa"/>
            <w:vAlign w:val="bottom"/>
            <w:tcBorders>
              <w:bottom w:val="single" w:sz="8" w:color="CCEEFF"/>
            </w:tcBorders>
          </w:tcPr>
          <w:p>
            <w:pPr>
              <w:ind w:left="20"/>
              <w:spacing w:after="0" w:line="235" w:lineRule="exact"/>
              <w:rPr>
                <w:sz w:val="20"/>
                <w:szCs w:val="20"/>
                <w:color w:val="auto"/>
              </w:rPr>
            </w:pPr>
            <w:r>
              <w:rPr>
                <w:rFonts w:ascii="Arial" w:cs="Arial" w:eastAsia="Arial" w:hAnsi="Arial"/>
                <w:sz w:val="18"/>
                <w:szCs w:val="18"/>
                <w:color w:val="auto"/>
              </w:rPr>
              <w:t>Receivable</w:t>
            </w:r>
            <w:r>
              <w:rPr>
                <w:rFonts w:ascii="Arial" w:cs="Arial" w:eastAsia="Arial" w:hAnsi="Arial"/>
                <w:sz w:val="23"/>
                <w:szCs w:val="23"/>
                <w:color w:val="auto"/>
                <w:vertAlign w:val="superscript"/>
              </w:rPr>
              <w:t>2</w:t>
            </w: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35"/>
              <w:spacing w:after="0"/>
              <w:rPr>
                <w:sz w:val="20"/>
                <w:szCs w:val="20"/>
                <w:color w:val="auto"/>
              </w:rPr>
            </w:pPr>
            <w:r>
              <w:rPr>
                <w:rFonts w:ascii="Arial" w:cs="Arial" w:eastAsia="Arial" w:hAnsi="Arial"/>
                <w:sz w:val="18"/>
                <w:szCs w:val="18"/>
                <w:color w:val="auto"/>
              </w:rPr>
              <w:t>51,887</w:t>
            </w:r>
          </w:p>
        </w:tc>
        <w:tc>
          <w:tcPr>
            <w:tcW w:w="1080" w:type="dxa"/>
            <w:vAlign w:val="bottom"/>
            <w:tcBorders>
              <w:bottom w:val="single" w:sz="8" w:color="auto"/>
            </w:tcBorders>
          </w:tcPr>
          <w:p>
            <w:pPr>
              <w:jc w:val="right"/>
              <w:ind w:right="215"/>
              <w:spacing w:after="0"/>
              <w:rPr>
                <w:sz w:val="20"/>
                <w:szCs w:val="20"/>
                <w:color w:val="auto"/>
              </w:rPr>
            </w:pPr>
            <w:r>
              <w:rPr>
                <w:rFonts w:ascii="Arial" w:cs="Arial" w:eastAsia="Arial" w:hAnsi="Arial"/>
                <w:sz w:val="18"/>
                <w:szCs w:val="18"/>
                <w:color w:val="auto"/>
              </w:rPr>
              <w:t>2,872</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54,759</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15"/>
              <w:spacing w:after="0"/>
              <w:rPr>
                <w:sz w:val="20"/>
                <w:szCs w:val="20"/>
                <w:color w:val="auto"/>
              </w:rPr>
            </w:pPr>
            <w:r>
              <w:rPr>
                <w:rFonts w:ascii="Arial" w:cs="Arial" w:eastAsia="Arial" w:hAnsi="Arial"/>
                <w:sz w:val="18"/>
                <w:szCs w:val="18"/>
                <w:color w:val="auto"/>
              </w:rPr>
              <w:t>53,026</w:t>
            </w:r>
          </w:p>
        </w:tc>
        <w:tc>
          <w:tcPr>
            <w:tcW w:w="1100" w:type="dxa"/>
            <w:vAlign w:val="bottom"/>
            <w:tcBorders>
              <w:bottom w:val="single" w:sz="8" w:color="auto"/>
            </w:tcBorders>
          </w:tcPr>
          <w:p>
            <w:pPr>
              <w:jc w:val="right"/>
              <w:ind w:right="235"/>
              <w:spacing w:after="0"/>
              <w:rPr>
                <w:sz w:val="20"/>
                <w:szCs w:val="20"/>
                <w:color w:val="auto"/>
              </w:rPr>
            </w:pPr>
            <w:r>
              <w:rPr>
                <w:rFonts w:ascii="Arial" w:cs="Arial" w:eastAsia="Arial" w:hAnsi="Arial"/>
                <w:sz w:val="18"/>
                <w:szCs w:val="18"/>
                <w:color w:val="auto"/>
              </w:rPr>
              <w:t>1,860</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54,886</w:t>
            </w:r>
          </w:p>
        </w:tc>
        <w:tc>
          <w:tcPr>
            <w:tcW w:w="0" w:type="dxa"/>
            <w:vAlign w:val="bottom"/>
          </w:tcPr>
          <w:p>
            <w:pPr>
              <w:spacing w:after="0"/>
              <w:rPr>
                <w:sz w:val="1"/>
                <w:szCs w:val="1"/>
                <w:color w:val="auto"/>
              </w:rPr>
            </w:pPr>
          </w:p>
        </w:tc>
      </w:tr>
      <w:tr>
        <w:trPr>
          <w:trHeight w:val="248"/>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1,776,104</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51,887 $</w:t>
            </w:r>
          </w:p>
        </w:tc>
        <w:tc>
          <w:tcPr>
            <w:tcW w:w="10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2,872 $</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1,830,863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1,930,843</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53,026 $</w:t>
            </w:r>
          </w:p>
        </w:tc>
        <w:tc>
          <w:tcPr>
            <w:tcW w:w="11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1,860 $</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1,985,729</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80" w:hanging="72"/>
        <w:spacing w:after="0"/>
        <w:tabs>
          <w:tab w:leader="none" w:pos="80" w:val="left"/>
        </w:tabs>
        <w:numPr>
          <w:ilvl w:val="0"/>
          <w:numId w:val="7"/>
        </w:numPr>
        <w:rPr>
          <w:rFonts w:ascii="Arial" w:cs="Arial" w:eastAsia="Arial" w:hAnsi="Arial"/>
          <w:sz w:val="19"/>
          <w:szCs w:val="19"/>
          <w:color w:val="auto"/>
          <w:vertAlign w:val="superscript"/>
        </w:rPr>
      </w:pPr>
      <w:r>
        <w:rPr>
          <w:rFonts w:ascii="Arial" w:cs="Arial" w:eastAsia="Arial" w:hAnsi="Arial"/>
          <w:sz w:val="14"/>
          <w:szCs w:val="14"/>
          <w:color w:val="auto"/>
        </w:rPr>
        <w:t xml:space="preserve">Revenue within the scope of ASC 842, </w:t>
      </w:r>
      <w:r>
        <w:rPr>
          <w:rFonts w:ascii="Arial" w:cs="Arial" w:eastAsia="Arial" w:hAnsi="Arial"/>
          <w:sz w:val="14"/>
          <w:szCs w:val="14"/>
          <w:i w:val="1"/>
          <w:iCs w:val="1"/>
          <w:color w:val="auto"/>
        </w:rPr>
        <w:t>Leases</w:t>
      </w:r>
      <w:r>
        <w:rPr>
          <w:rFonts w:ascii="Arial" w:cs="Arial" w:eastAsia="Arial" w:hAnsi="Arial"/>
          <w:sz w:val="14"/>
          <w:szCs w:val="14"/>
          <w:color w:val="auto"/>
        </w:rPr>
        <w:t>.</w:t>
      </w:r>
    </w:p>
    <w:p>
      <w:pPr>
        <w:spacing w:after="0" w:line="11" w:lineRule="exact"/>
        <w:rPr>
          <w:sz w:val="20"/>
          <w:szCs w:val="20"/>
          <w:color w:val="auto"/>
        </w:rPr>
      </w:pPr>
    </w:p>
    <w:p>
      <w:pPr>
        <w:ind w:left="80" w:hanging="72"/>
        <w:spacing w:after="0"/>
        <w:tabs>
          <w:tab w:leader="none" w:pos="80"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 xml:space="preserve">Revenue within the scope of ASC 310, </w:t>
      </w:r>
      <w:r>
        <w:rPr>
          <w:rFonts w:ascii="Arial" w:cs="Arial" w:eastAsia="Arial" w:hAnsi="Arial"/>
          <w:sz w:val="14"/>
          <w:szCs w:val="14"/>
          <w:i w:val="1"/>
          <w:iCs w:val="1"/>
          <w:color w:val="auto"/>
        </w:rPr>
        <w:t>Receivables</w:t>
      </w:r>
      <w:r>
        <w:rPr>
          <w:rFonts w:ascii="Arial" w:cs="Arial" w:eastAsia="Arial" w:hAnsi="Arial"/>
          <w:sz w:val="14"/>
          <w:szCs w:val="14"/>
          <w:color w:val="auto"/>
        </w:rPr>
        <w: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Measurement of Segment Profit or Loss and Segment Assets</w:t>
      </w:r>
    </w:p>
    <w:p>
      <w:pPr>
        <w:spacing w:after="0" w:line="104"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Company evaluates performance and allocates resources based on revenues and earnings (loss) before income taxes from operations. The Company determines earnings (loss) before income tax expense for all reportable segments in accordance with U.S. GAAP. A portion of interest expense is allocated from the Progressive Leasing segment to the Vive segment based on the balance of outstanding intercompany debt.</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The Company incurred various corporate overhead expenses for certain executive management, finance, treasury, tax, audit, legal, risk management, and other overhead functions during the three and nine months ended September 30, 2023 and 2022. Corporate overhead expenses incurred are primarily reflected as expenses of the Progressive Leasing segment and an immaterial amount was allocated to the Vive segment and Other. The allocation of corporate overhead costs to Progressive Leasing, Vive and Other is consistent with how the chief operating decision maker analyzed performance and allocated resources among the segments of the Company during the three and nine months ended September 30, 2023 and 2022. The following is a summary of earnings before income tax expense by segment: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60" w:type="dxa"/>
            <w:vAlign w:val="bottom"/>
            <w:gridSpan w:val="3"/>
          </w:tcPr>
          <w:p>
            <w:pPr>
              <w:jc w:val="right"/>
              <w:ind w:right="494"/>
              <w:spacing w:after="0"/>
              <w:rPr>
                <w:sz w:val="20"/>
                <w:szCs w:val="20"/>
                <w:color w:val="auto"/>
              </w:rPr>
            </w:pPr>
            <w:r>
              <w:rPr>
                <w:rFonts w:ascii="Arial" w:cs="Arial" w:eastAsia="Arial" w:hAnsi="Arial"/>
                <w:sz w:val="14"/>
                <w:szCs w:val="14"/>
                <w:b w:val="1"/>
                <w:bCs w:val="1"/>
                <w:color w:val="auto"/>
              </w:rPr>
              <w:t>Three Months Ended September 30,</w:t>
            </w:r>
          </w:p>
        </w:tc>
        <w:tc>
          <w:tcPr>
            <w:tcW w:w="0" w:type="dxa"/>
            <w:vAlign w:val="bottom"/>
          </w:tcPr>
          <w:p>
            <w:pPr>
              <w:spacing w:after="0"/>
              <w:rPr>
                <w:sz w:val="1"/>
                <w:szCs w:val="1"/>
                <w:color w:val="auto"/>
              </w:rPr>
            </w:pPr>
          </w:p>
        </w:tc>
      </w:tr>
      <w:tr>
        <w:trPr>
          <w:trHeight w:val="26"/>
        </w:trPr>
        <w:tc>
          <w:tcPr>
            <w:tcW w:w="7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84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Earnings Before Income Tax Expense:</w:t>
            </w: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40" w:type="dxa"/>
            <w:vAlign w:val="bottom"/>
          </w:tcPr>
          <w:p>
            <w:pPr>
              <w:ind w:left="360"/>
              <w:spacing w:after="0"/>
              <w:rPr>
                <w:sz w:val="20"/>
                <w:szCs w:val="20"/>
                <w:color w:val="auto"/>
              </w:rPr>
            </w:pPr>
            <w:r>
              <w:rPr>
                <w:rFonts w:ascii="Arial" w:cs="Arial" w:eastAsia="Arial" w:hAnsi="Arial"/>
                <w:sz w:val="18"/>
                <w:szCs w:val="18"/>
                <w:color w:val="auto"/>
              </w:rPr>
              <w:t>Progressive Leasing</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36"/>
              <w:spacing w:after="0"/>
              <w:rPr>
                <w:sz w:val="20"/>
                <w:szCs w:val="20"/>
                <w:color w:val="auto"/>
              </w:rPr>
            </w:pPr>
            <w:r>
              <w:rPr>
                <w:rFonts w:ascii="Arial" w:cs="Arial" w:eastAsia="Arial" w:hAnsi="Arial"/>
                <w:sz w:val="18"/>
                <w:szCs w:val="18"/>
                <w:color w:val="auto"/>
              </w:rPr>
              <w:t>53,941</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43,492</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Vive</w:t>
            </w: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565</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w:t>
            </w:r>
          </w:p>
        </w:tc>
        <w:tc>
          <w:tcPr>
            <w:tcW w:w="0" w:type="dxa"/>
            <w:vAlign w:val="bottom"/>
          </w:tcPr>
          <w:p>
            <w:pPr>
              <w:spacing w:after="0"/>
              <w:rPr>
                <w:sz w:val="1"/>
                <w:szCs w:val="1"/>
                <w:color w:val="auto"/>
              </w:rPr>
            </w:pPr>
          </w:p>
        </w:tc>
      </w:tr>
      <w:tr>
        <w:trPr>
          <w:trHeight w:val="230"/>
        </w:trPr>
        <w:tc>
          <w:tcPr>
            <w:tcW w:w="78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(6,397)</w:t>
            </w:r>
          </w:p>
        </w:tc>
        <w:tc>
          <w:tcPr>
            <w:tcW w:w="4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(17,520)</w:t>
            </w:r>
          </w:p>
        </w:tc>
        <w:tc>
          <w:tcPr>
            <w:tcW w:w="0" w:type="dxa"/>
            <w:vAlign w:val="bottom"/>
          </w:tcPr>
          <w:p>
            <w:pPr>
              <w:spacing w:after="0"/>
              <w:rPr>
                <w:sz w:val="1"/>
                <w:szCs w:val="1"/>
                <w:color w:val="auto"/>
              </w:rPr>
            </w:pP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Earnings Before Income Tax Expense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48,109</w:t>
            </w: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27,348</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3060" w:type="dxa"/>
            <w:vAlign w:val="bottom"/>
            <w:tcBorders>
              <w:top w:val="single" w:sz="8" w:color="CCEEFF"/>
              <w:bottom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7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60" w:type="dxa"/>
            <w:vAlign w:val="bottom"/>
            <w:gridSpan w:val="3"/>
          </w:tcPr>
          <w:p>
            <w:pPr>
              <w:jc w:val="right"/>
              <w:ind w:right="534"/>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
        </w:trPr>
        <w:tc>
          <w:tcPr>
            <w:tcW w:w="7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84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Earnings Before Income Tax Expense:</w:t>
            </w: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40" w:type="dxa"/>
            <w:vAlign w:val="bottom"/>
          </w:tcPr>
          <w:p>
            <w:pPr>
              <w:ind w:left="360"/>
              <w:spacing w:after="0"/>
              <w:rPr>
                <w:sz w:val="20"/>
                <w:szCs w:val="20"/>
                <w:color w:val="auto"/>
              </w:rPr>
            </w:pPr>
            <w:r>
              <w:rPr>
                <w:rFonts w:ascii="Arial" w:cs="Arial" w:eastAsia="Arial" w:hAnsi="Arial"/>
                <w:sz w:val="18"/>
                <w:szCs w:val="18"/>
                <w:color w:val="auto"/>
              </w:rPr>
              <w:t>Progressive Leasing</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36"/>
              <w:spacing w:after="0"/>
              <w:rPr>
                <w:sz w:val="20"/>
                <w:szCs w:val="20"/>
                <w:color w:val="auto"/>
              </w:rPr>
            </w:pPr>
            <w:r>
              <w:rPr>
                <w:rFonts w:ascii="Arial" w:cs="Arial" w:eastAsia="Arial" w:hAnsi="Arial"/>
                <w:sz w:val="18"/>
                <w:szCs w:val="18"/>
                <w:color w:val="auto"/>
              </w:rPr>
              <w:t>180,414</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112,956</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Vive</w:t>
            </w: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4,486</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9,154</w:t>
            </w:r>
          </w:p>
        </w:tc>
        <w:tc>
          <w:tcPr>
            <w:tcW w:w="0" w:type="dxa"/>
            <w:vAlign w:val="bottom"/>
          </w:tcPr>
          <w:p>
            <w:pPr>
              <w:spacing w:after="0"/>
              <w:rPr>
                <w:sz w:val="1"/>
                <w:szCs w:val="1"/>
                <w:color w:val="auto"/>
              </w:rPr>
            </w:pPr>
          </w:p>
        </w:tc>
      </w:tr>
      <w:tr>
        <w:trPr>
          <w:trHeight w:val="229"/>
        </w:trPr>
        <w:tc>
          <w:tcPr>
            <w:tcW w:w="78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(17,190)</w:t>
            </w:r>
          </w:p>
        </w:tc>
        <w:tc>
          <w:tcPr>
            <w:tcW w:w="4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(27,597)</w:t>
            </w:r>
          </w:p>
        </w:tc>
        <w:tc>
          <w:tcPr>
            <w:tcW w:w="0" w:type="dxa"/>
            <w:vAlign w:val="bottom"/>
          </w:tcPr>
          <w:p>
            <w:pPr>
              <w:spacing w:after="0"/>
              <w:rPr>
                <w:sz w:val="1"/>
                <w:szCs w:val="1"/>
                <w:color w:val="auto"/>
              </w:rPr>
            </w:pP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Earnings Before Income Tax Expense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167,710</w:t>
            </w: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94,513</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interest expense, net by segment: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00" w:type="dxa"/>
            <w:vAlign w:val="bottom"/>
          </w:tcPr>
          <w:p>
            <w:pPr>
              <w:spacing w:after="0"/>
              <w:rPr>
                <w:sz w:val="16"/>
                <w:szCs w:val="16"/>
                <w:color w:val="auto"/>
              </w:rPr>
            </w:pPr>
          </w:p>
        </w:tc>
        <w:tc>
          <w:tcPr>
            <w:tcW w:w="28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20" w:type="dxa"/>
            <w:vAlign w:val="bottom"/>
            <w:gridSpan w:val="3"/>
          </w:tcPr>
          <w:p>
            <w:pPr>
              <w:jc w:val="right"/>
              <w:ind w:right="532"/>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5"/>
        </w:trPr>
        <w:tc>
          <w:tcPr>
            <w:tcW w:w="44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0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Interest Expense, Net:</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Progressive Leasing</w:t>
            </w:r>
          </w:p>
        </w:tc>
        <w:tc>
          <w:tcPr>
            <w:tcW w:w="1040" w:type="dxa"/>
            <w:vAlign w:val="bottom"/>
            <w:shd w:val="clear" w:color="auto" w:fill="CCEEFF"/>
          </w:tcPr>
          <w:p>
            <w:pPr>
              <w:jc w:val="right"/>
              <w:ind w:right="837"/>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9,745</w:t>
            </w:r>
          </w:p>
        </w:tc>
        <w:tc>
          <w:tcPr>
            <w:tcW w:w="1160" w:type="dxa"/>
            <w:vAlign w:val="bottom"/>
            <w:shd w:val="clear" w:color="auto" w:fill="CCEEFF"/>
          </w:tcPr>
          <w:p>
            <w:pPr>
              <w:jc w:val="right"/>
              <w:ind w:right="915"/>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7"/>
              </w:rPr>
              <w:t>9,683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29,115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28,972</w:t>
            </w:r>
          </w:p>
        </w:tc>
        <w:tc>
          <w:tcPr>
            <w:tcW w:w="0" w:type="dxa"/>
            <w:vAlign w:val="bottom"/>
          </w:tcPr>
          <w:p>
            <w:pPr>
              <w:spacing w:after="0"/>
              <w:rPr>
                <w:sz w:val="1"/>
                <w:szCs w:val="1"/>
                <w:color w:val="auto"/>
              </w:rPr>
            </w:pPr>
          </w:p>
        </w:tc>
      </w:tr>
      <w:tr>
        <w:trPr>
          <w:trHeight w:val="230"/>
        </w:trPr>
        <w:tc>
          <w:tcPr>
            <w:tcW w:w="4400" w:type="dxa"/>
            <w:vAlign w:val="bottom"/>
          </w:tcPr>
          <w:p>
            <w:pPr>
              <w:ind w:left="360"/>
              <w:spacing w:after="0"/>
              <w:rPr>
                <w:sz w:val="20"/>
                <w:szCs w:val="20"/>
                <w:color w:val="auto"/>
              </w:rPr>
            </w:pPr>
            <w:r>
              <w:rPr>
                <w:rFonts w:ascii="Arial" w:cs="Arial" w:eastAsia="Arial" w:hAnsi="Arial"/>
                <w:sz w:val="18"/>
                <w:szCs w:val="18"/>
                <w:color w:val="auto"/>
              </w:rPr>
              <w:t>Vive</w:t>
            </w:r>
          </w:p>
        </w:tc>
        <w:tc>
          <w:tcPr>
            <w:tcW w:w="1040" w:type="dxa"/>
            <w:vAlign w:val="bottom"/>
          </w:tcPr>
          <w:p>
            <w:pPr>
              <w:spacing w:after="0"/>
              <w:rPr>
                <w:sz w:val="19"/>
                <w:szCs w:val="19"/>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112</w:t>
            </w:r>
          </w:p>
        </w:tc>
        <w:tc>
          <w:tcPr>
            <w:tcW w:w="1160" w:type="dxa"/>
            <w:vAlign w:val="bottom"/>
          </w:tcPr>
          <w:p>
            <w:pPr>
              <w:spacing w:after="0"/>
              <w:rPr>
                <w:sz w:val="19"/>
                <w:szCs w:val="19"/>
                <w:color w:val="auto"/>
              </w:rPr>
            </w:pPr>
          </w:p>
        </w:tc>
        <w:tc>
          <w:tcPr>
            <w:tcW w:w="600" w:type="dxa"/>
            <w:vAlign w:val="bottom"/>
          </w:tcPr>
          <w:p>
            <w:pPr>
              <w:jc w:val="right"/>
              <w:ind w:right="50"/>
              <w:spacing w:after="0"/>
              <w:rPr>
                <w:sz w:val="20"/>
                <w:szCs w:val="20"/>
                <w:color w:val="auto"/>
              </w:rPr>
            </w:pPr>
            <w:r>
              <w:rPr>
                <w:rFonts w:ascii="Arial" w:cs="Arial" w:eastAsia="Arial" w:hAnsi="Arial"/>
                <w:sz w:val="18"/>
                <w:szCs w:val="18"/>
                <w:color w:val="auto"/>
              </w:rPr>
              <w:t>98</w:t>
            </w:r>
          </w:p>
        </w:tc>
        <w:tc>
          <w:tcPr>
            <w:tcW w:w="180" w:type="dxa"/>
            <w:vAlign w:val="bottom"/>
          </w:tcPr>
          <w:p>
            <w:pPr>
              <w:spacing w:after="0"/>
              <w:rPr>
                <w:sz w:val="19"/>
                <w:szCs w:val="19"/>
                <w:color w:val="auto"/>
              </w:rPr>
            </w:pPr>
          </w:p>
        </w:tc>
        <w:tc>
          <w:tcPr>
            <w:tcW w:w="1520" w:type="dxa"/>
            <w:vAlign w:val="bottom"/>
          </w:tcPr>
          <w:p>
            <w:pPr>
              <w:jc w:val="right"/>
              <w:ind w:right="33"/>
              <w:spacing w:after="0"/>
              <w:rPr>
                <w:sz w:val="20"/>
                <w:szCs w:val="20"/>
                <w:color w:val="auto"/>
              </w:rPr>
            </w:pPr>
            <w:r>
              <w:rPr>
                <w:rFonts w:ascii="Arial" w:cs="Arial" w:eastAsia="Arial" w:hAnsi="Arial"/>
                <w:sz w:val="18"/>
                <w:szCs w:val="18"/>
                <w:color w:val="auto"/>
              </w:rPr>
              <w:t>569</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400" w:type="dxa"/>
            <w:vAlign w:val="bottom"/>
          </w:tcPr>
          <w:p>
            <w:pPr>
              <w:ind w:left="360"/>
              <w:spacing w:after="0"/>
              <w:rPr>
                <w:sz w:val="20"/>
                <w:szCs w:val="20"/>
                <w:color w:val="auto"/>
              </w:rPr>
            </w:pPr>
            <w:r>
              <w:rPr>
                <w:rFonts w:ascii="Arial" w:cs="Arial" w:eastAsia="Arial" w:hAnsi="Arial"/>
                <w:sz w:val="18"/>
                <w:szCs w:val="18"/>
                <w:color w:val="auto"/>
              </w:rPr>
              <w:t>Intercompany Elimination</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(195)</w:t>
            </w:r>
          </w:p>
        </w:tc>
        <w:tc>
          <w:tcPr>
            <w:tcW w:w="1160" w:type="dxa"/>
            <w:vAlign w:val="bottom"/>
          </w:tcPr>
          <w:p>
            <w:pPr>
              <w:spacing w:after="0"/>
              <w:rPr>
                <w:sz w:val="19"/>
                <w:szCs w:val="19"/>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(98)</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(652)</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Income:</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360"/>
              <w:spacing w:after="0"/>
              <w:rPr>
                <w:sz w:val="20"/>
                <w:szCs w:val="20"/>
                <w:color w:val="auto"/>
              </w:rPr>
            </w:pPr>
            <w:r>
              <w:rPr>
                <w:rFonts w:ascii="Arial" w:cs="Arial" w:eastAsia="Arial" w:hAnsi="Arial"/>
                <w:sz w:val="18"/>
                <w:szCs w:val="18"/>
                <w:color w:val="auto"/>
              </w:rPr>
              <w:t>Progressive Leasing</w:t>
            </w:r>
          </w:p>
        </w:tc>
        <w:tc>
          <w:tcPr>
            <w:tcW w:w="1040" w:type="dxa"/>
            <w:vAlign w:val="bottom"/>
          </w:tcPr>
          <w:p>
            <w:pPr>
              <w:jc w:val="right"/>
              <w:ind w:right="837"/>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8"/>
              </w:rPr>
              <w:t>(2,999)</w:t>
            </w:r>
          </w:p>
        </w:tc>
        <w:tc>
          <w:tcPr>
            <w:tcW w:w="1160" w:type="dxa"/>
            <w:vAlign w:val="bottom"/>
          </w:tcPr>
          <w:p>
            <w:pPr>
              <w:jc w:val="right"/>
              <w:ind w:right="915"/>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(318)</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(7,052)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Vive</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400" w:type="dxa"/>
            <w:vAlign w:val="bottom"/>
          </w:tcPr>
          <w:p>
            <w:pPr>
              <w:ind w:left="360"/>
              <w:spacing w:after="0"/>
              <w:rPr>
                <w:sz w:val="20"/>
                <w:szCs w:val="20"/>
                <w:color w:val="auto"/>
              </w:rPr>
            </w:pPr>
            <w:r>
              <w:rPr>
                <w:rFonts w:ascii="Arial" w:cs="Arial" w:eastAsia="Arial" w:hAnsi="Arial"/>
                <w:sz w:val="18"/>
                <w:szCs w:val="18"/>
                <w:color w:val="auto"/>
              </w:rPr>
              <w:t>Other</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(83)</w:t>
            </w:r>
          </w:p>
        </w:tc>
        <w:tc>
          <w:tcPr>
            <w:tcW w:w="1160" w:type="dxa"/>
            <w:vAlign w:val="bottom"/>
          </w:tcPr>
          <w:p>
            <w:pPr>
              <w:spacing w:after="0"/>
              <w:rPr>
                <w:sz w:val="19"/>
                <w:szCs w:val="19"/>
                <w:color w:val="auto"/>
              </w:rPr>
            </w:pPr>
          </w:p>
        </w:tc>
        <w:tc>
          <w:tcPr>
            <w:tcW w:w="6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(83)</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Intercompany Elimination</w:t>
            </w:r>
          </w:p>
        </w:tc>
        <w:tc>
          <w:tcPr>
            <w:tcW w:w="10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195</w:t>
            </w:r>
          </w:p>
        </w:tc>
        <w:tc>
          <w:tcPr>
            <w:tcW w:w="1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98</w:t>
            </w: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652</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rPr>
                <w:sz w:val="20"/>
                <w:szCs w:val="20"/>
                <w:color w:val="auto"/>
              </w:rPr>
            </w:pPr>
            <w:r>
              <w:rPr>
                <w:rFonts w:ascii="Arial" w:cs="Arial" w:eastAsia="Arial" w:hAnsi="Arial"/>
                <w:sz w:val="18"/>
                <w:szCs w:val="18"/>
                <w:color w:val="auto"/>
              </w:rPr>
              <w:t>Total Interest Expense, Net</w:t>
            </w:r>
          </w:p>
        </w:tc>
        <w:tc>
          <w:tcPr>
            <w:tcW w:w="1040" w:type="dxa"/>
            <w:vAlign w:val="bottom"/>
            <w:tcBorders>
              <w:bottom w:val="single" w:sz="8" w:color="auto"/>
            </w:tcBorders>
          </w:tcPr>
          <w:p>
            <w:pPr>
              <w:jc w:val="right"/>
              <w:ind w:right="837"/>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6,775</w:t>
            </w:r>
          </w:p>
        </w:tc>
        <w:tc>
          <w:tcPr>
            <w:tcW w:w="1160" w:type="dxa"/>
            <w:vAlign w:val="bottom"/>
            <w:tcBorders>
              <w:bottom w:val="single" w:sz="8" w:color="auto"/>
            </w:tcBorders>
          </w:tcPr>
          <w:p>
            <w:pPr>
              <w:jc w:val="right"/>
              <w:ind w:right="915"/>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7"/>
              </w:rPr>
              <w:t>9,463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22,549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28,700</w:t>
            </w:r>
          </w:p>
        </w:tc>
        <w:tc>
          <w:tcPr>
            <w:tcW w:w="0" w:type="dxa"/>
            <w:vAlign w:val="bottom"/>
          </w:tcPr>
          <w:p>
            <w:pPr>
              <w:spacing w:after="0"/>
              <w:rPr>
                <w:sz w:val="1"/>
                <w:szCs w:val="1"/>
                <w:color w:val="auto"/>
              </w:rPr>
            </w:pPr>
          </w:p>
        </w:tc>
      </w:tr>
      <w:tr>
        <w:trPr>
          <w:trHeight w:val="21"/>
        </w:trPr>
        <w:tc>
          <w:tcPr>
            <w:tcW w:w="4400" w:type="dxa"/>
            <w:vAlign w:val="bottom"/>
            <w:vMerge w:val="restart"/>
          </w:tcPr>
          <w:p>
            <w:pPr>
              <w:spacing w:after="0"/>
              <w:rPr>
                <w:sz w:val="20"/>
                <w:szCs w:val="20"/>
                <w:color w:val="auto"/>
              </w:rPr>
            </w:pPr>
            <w:r>
              <w:rPr>
                <w:rFonts w:ascii="Arial" w:cs="Arial" w:eastAsia="Arial" w:hAnsi="Arial"/>
                <w:sz w:val="18"/>
                <w:szCs w:val="18"/>
                <w:color w:val="auto"/>
              </w:rPr>
              <w:t>The following is a summary of total assets by segment:</w:t>
            </w: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440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44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jc w:val="right"/>
              <w:ind w:right="193"/>
              <w:spacing w:after="0"/>
              <w:rPr>
                <w:sz w:val="20"/>
                <w:szCs w:val="20"/>
                <w:color w:val="auto"/>
              </w:rPr>
            </w:pPr>
            <w:r>
              <w:rPr>
                <w:rFonts w:ascii="Arial" w:cs="Arial" w:eastAsia="Arial" w:hAnsi="Arial"/>
                <w:sz w:val="14"/>
                <w:szCs w:val="14"/>
                <w:b w:val="1"/>
                <w:bCs w:val="1"/>
                <w:color w:val="auto"/>
                <w:w w:val="93"/>
              </w:rPr>
              <w:t>September 30, 2023</w:t>
            </w:r>
          </w:p>
        </w:tc>
        <w:tc>
          <w:tcPr>
            <w:tcW w:w="240" w:type="dxa"/>
            <w:vAlign w:val="bottom"/>
          </w:tcPr>
          <w:p>
            <w:pPr>
              <w:spacing w:after="0"/>
              <w:rPr>
                <w:sz w:val="24"/>
                <w:szCs w:val="24"/>
                <w:color w:val="auto"/>
              </w:rPr>
            </w:pPr>
          </w:p>
        </w:tc>
        <w:tc>
          <w:tcPr>
            <w:tcW w:w="1460" w:type="dxa"/>
            <w:vAlign w:val="bottom"/>
          </w:tcPr>
          <w:p>
            <w:pPr>
              <w:jc w:val="right"/>
              <w:ind w:right="152"/>
              <w:spacing w:after="0"/>
              <w:rPr>
                <w:sz w:val="20"/>
                <w:szCs w:val="20"/>
                <w:color w:val="auto"/>
              </w:rPr>
            </w:pPr>
            <w:r>
              <w:rPr>
                <w:rFonts w:ascii="Arial" w:cs="Arial" w:eastAsia="Arial" w:hAnsi="Arial"/>
                <w:sz w:val="14"/>
                <w:szCs w:val="14"/>
                <w:b w:val="1"/>
                <w:bCs w:val="1"/>
                <w:color w:val="auto"/>
                <w:w w:val="95"/>
              </w:rPr>
              <w:t>December 31, 2022</w:t>
            </w:r>
          </w:p>
        </w:tc>
        <w:tc>
          <w:tcPr>
            <w:tcW w:w="0" w:type="dxa"/>
            <w:vAlign w:val="bottom"/>
          </w:tcPr>
          <w:p>
            <w:pPr>
              <w:spacing w:after="0"/>
              <w:rPr>
                <w:sz w:val="1"/>
                <w:szCs w:val="1"/>
                <w:color w:val="auto"/>
              </w:rPr>
            </w:pPr>
          </w:p>
        </w:tc>
      </w:tr>
      <w:tr>
        <w:trPr>
          <w:trHeight w:val="25"/>
        </w:trPr>
        <w:tc>
          <w:tcPr>
            <w:tcW w:w="4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360"/>
              <w:spacing w:after="0"/>
              <w:rPr>
                <w:sz w:val="20"/>
                <w:szCs w:val="20"/>
                <w:color w:val="auto"/>
              </w:rPr>
            </w:pPr>
            <w:r>
              <w:rPr>
                <w:rFonts w:ascii="Arial" w:cs="Arial" w:eastAsia="Arial" w:hAnsi="Arial"/>
                <w:sz w:val="18"/>
                <w:szCs w:val="18"/>
                <w:color w:val="auto"/>
              </w:rPr>
              <w:t>Progressive Leasing</w:t>
            </w: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ind w:right="33"/>
              <w:spacing w:after="0"/>
              <w:rPr>
                <w:sz w:val="20"/>
                <w:szCs w:val="20"/>
                <w:color w:val="auto"/>
              </w:rPr>
            </w:pPr>
            <w:r>
              <w:rPr>
                <w:rFonts w:ascii="Arial" w:cs="Arial" w:eastAsia="Arial" w:hAnsi="Arial"/>
                <w:sz w:val="18"/>
                <w:szCs w:val="18"/>
                <w:color w:val="auto"/>
              </w:rPr>
              <w:t>1,315,442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1,309,487</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Vive</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145,901</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155,846</w:t>
            </w:r>
          </w:p>
        </w:tc>
        <w:tc>
          <w:tcPr>
            <w:tcW w:w="0" w:type="dxa"/>
            <w:vAlign w:val="bottom"/>
          </w:tcPr>
          <w:p>
            <w:pPr>
              <w:spacing w:after="0"/>
              <w:rPr>
                <w:sz w:val="1"/>
                <w:szCs w:val="1"/>
                <w:color w:val="auto"/>
              </w:rPr>
            </w:pPr>
          </w:p>
        </w:tc>
      </w:tr>
      <w:tr>
        <w:trPr>
          <w:trHeight w:val="230"/>
        </w:trPr>
        <w:tc>
          <w:tcPr>
            <w:tcW w:w="44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104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27,814</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26,576</w:t>
            </w:r>
          </w:p>
        </w:tc>
        <w:tc>
          <w:tcPr>
            <w:tcW w:w="0" w:type="dxa"/>
            <w:vAlign w:val="bottom"/>
          </w:tcPr>
          <w:p>
            <w:pPr>
              <w:spacing w:after="0"/>
              <w:rPr>
                <w:sz w:val="1"/>
                <w:szCs w:val="1"/>
                <w:color w:val="auto"/>
              </w:rPr>
            </w:pPr>
          </w:p>
        </w:tc>
      </w:tr>
      <w:tr>
        <w:trPr>
          <w:trHeight w:val="248"/>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1,489,157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1,491,909</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CCEEFF"/>
            </w:tcBorders>
            <w:vMerge w:val="restart"/>
          </w:tcPr>
          <w:p>
            <w:pPr>
              <w:jc w:val="right"/>
              <w:ind w:right="270"/>
              <w:spacing w:after="0"/>
              <w:rPr>
                <w:sz w:val="20"/>
                <w:szCs w:val="20"/>
                <w:color w:val="auto"/>
              </w:rPr>
            </w:pPr>
            <w:r>
              <w:rPr>
                <w:rFonts w:ascii="Arial" w:cs="Arial" w:eastAsia="Arial" w:hAnsi="Arial"/>
                <w:sz w:val="18"/>
                <w:szCs w:val="18"/>
                <w:color w:val="auto"/>
              </w:rPr>
              <w:t>21</w:t>
            </w:r>
          </w:p>
        </w:tc>
        <w:tc>
          <w:tcPr>
            <w:tcW w:w="11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4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4" w:lineRule="exact"/>
        <w:rPr>
          <w:sz w:val="20"/>
          <w:szCs w:val="20"/>
          <w:color w:val="auto"/>
        </w:rPr>
      </w:pPr>
    </w:p>
    <w:p>
      <w:pPr>
        <w:jc w:val="both"/>
        <w:ind w:right="360"/>
        <w:spacing w:after="0" w:line="287" w:lineRule="auto"/>
        <w:rPr>
          <w:sz w:val="20"/>
          <w:szCs w:val="20"/>
          <w:color w:val="auto"/>
        </w:rPr>
      </w:pPr>
      <w:r>
        <w:rPr>
          <w:rFonts w:ascii="Arial" w:cs="Arial" w:eastAsia="Arial" w:hAnsi="Arial"/>
          <w:sz w:val="16"/>
          <w:szCs w:val="16"/>
          <w:i w:val="1"/>
          <w:iCs w:val="1"/>
          <w:color w:val="auto"/>
        </w:rPr>
        <w:t>Special Note Regarding Forward-Looking Information: Except for historical information contained herein, the matters set forth in this Form 10-Q are forward-looking statements. These statements are based on management’s current expectations and plans, which involve risks and uncertainties. Such forward-looking statements generally can be identified by the use of forward-looking terminology such as "anticipate," "believe," "could," "estimate,"</w:t>
      </w:r>
    </w:p>
    <w:p>
      <w:pPr>
        <w:spacing w:after="0" w:line="2"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i w:val="1"/>
          <w:iCs w:val="1"/>
          <w:color w:val="auto"/>
        </w:rPr>
        <w:t>"expect," "intend," "plan," "project," "would," "should," and similar expressions. You are cautioned not to place undue reliance on these forward-looking statements, which speak only as of the filing date of this Quarterly Report and which involve risks and uncertainties that may cause actual results to differ materially from those set forth in these statements. These risks and uncertainties include factors that could cause our actual results and financial condition to differ materially from those expressed or implied in our forward-looking statements. Such risks and uncertainties include, among others, those discussed in "Item 1A. Risk Factors" in the Company's Annual Report on Form 10-K for the fiscal year ended December 31, 2022 (the "2022 Annual Report") and in this Quarterly Report on Form 10-Q for the quarter ended September 30, 2023. Except as required by law, the Company undertakes no obligation to update these forward-looking statements to reflect subsequent events or circumstances after the filing date of this Quarterly Report.</w:t>
      </w:r>
    </w:p>
    <w:p>
      <w:pPr>
        <w:spacing w:after="0" w:line="4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following discussion should be read in conjunction with the condensed consolidated financial statements as of and for the three and nine months ended September 30, 2023 and 2022, including the notes to those statements, appearing elsewhere in this report. We also suggest that management’s discussion and analysis appearing in this report be read in conjunction with the management’s discussion and analysis and consolidated financial statements included in our 2022 Annual Report.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08"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PROG Holdings, Inc. ("we," "our," "us," the "Company," or "PROG Holdings") is a financial technology holding company that provides transparent and competitive payment options to consumers. PROG Holdings has two reportable segments: (i) Progressive Leasing, an in-store, app-based, and e-commerce point-of-sale lease-to-own solutions provider; and (ii) Vive Financial ("Vive"), an omnichannel provider of second-look revolving credit products.</w:t>
      </w:r>
    </w:p>
    <w:p>
      <w:pPr>
        <w:spacing w:after="0" w:line="1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Progressive Leasing segment provides consumers with lease-purchase solutions through its point-of-sale partner locations and e-commerce website partners (collectively, "POS partners"). It does so by purchasing the merchandise from the POS partners desired by customers and, in turn, leasing that merchandise to the customers through a cancellable lease-to-own transaction. Progressive Leasing has no stores of its own, but rather offers lease-purchase solutions to the customers of traditional and e-commerce retailers.</w:t>
      </w:r>
    </w:p>
    <w:p>
      <w:pPr>
        <w:spacing w:after="0" w:line="6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Our Vive segment primarily serves customers that may not qualify for traditional prime lending offers who desire to purchase goods and services from participating merchants. Vive offers customized programs with services that include revolving loans through private label and Vive-branded credit cards. Vive's current network of POS partner locations and e-commerce websites includes furniture, mattresses, home exercise equipment, and home improvement retailers, as well as medical and dental service providers.</w:t>
      </w:r>
    </w:p>
    <w:p>
      <w:pPr>
        <w:spacing w:after="0" w:line="65"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On June 25, 2021, the Company completed the acquisition of Four Technologies, Inc. ("Four"), an innovative Buy Now, Pay Later company that allows shoppers to pay for merchandise through four interest-free installments. Four’s proprietary platform capabilities and its base of customers and retailers expand PROG Holdings’ ecosystem of financial technology offerings by introducing a payment solution that further diversifies the Company's consumer financial technology offerings. Shoppers use Four to purchase furniture, clothing, electronics, health and beauty products, footwear, jewelry, and other consumer goods from retailers across the United States. Four is not expected to be a reportable segment in 2023 as its financial results are not expected to be material to the Company's consolidated financial results in 2023. Four's financial results are reported within Other for segment reporting purposes.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Macroeconomic and Business Environment</w:t>
      </w:r>
    </w:p>
    <w:p>
      <w:pPr>
        <w:spacing w:after="0" w:line="9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Company continues to operate in a challenging macroeconomic environment. We believe the rapid increase in the rate of inflation during 2022, and higher year-over-year inflation continuing in 2023, particularly in housing, food, and gas costs, has disproportionately negatively affected the customers we serve and has resulted in an unfavorable impact on our lease portfolio performance and Gross Merchandise Volume ("GMV") during 2022 and 2023. While the inflation rate for the third quarter of 2023 was well below the peak levels it reached during the second and third quarters of 2022, we believe inflation continues to present a challenge to our customers. Customer payment delinquencies and uncollectible renewal payments experienced within our Progressive Leasing segment during much of 2022 significantly exceeded levels experienced during pre-pandemic periods. In response to increasing customer delinquencies and higher write-offs, Progressive Leasing tightened its lease decisioning several times during the first half of 2022, resulting in fewer lease approvals and an adverse impact on GMV in 2022 and 2023. Levels of customer payment delinquencies and uncollectible renewal payments for leases originated after Progressive Leasing further tightened its lease decisioning in mid-2022 improved to levels consistent with pre-pandemic lease portfolio performance. However, any meaningful increase in unemployment rates and/or a recession in the United States may result in</w:t>
      </w: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8" w:right="379" w:bottom="1440" w:gutter="0" w:footer="0" w:header="0"/>
        </w:sectPr>
      </w:pPr>
    </w:p>
    <w:bookmarkStart w:id="22" w:name="page23"/>
    <w:bookmarkEnd w:id="22"/>
    <w:p>
      <w:pPr>
        <w:spacing w:after="0"/>
        <w:rPr>
          <w:sz w:val="20"/>
          <w:szCs w:val="20"/>
          <w:color w:val="auto"/>
        </w:rPr>
      </w:pPr>
      <w:r>
        <w:rPr>
          <w:rFonts w:ascii="Arial" w:cs="Arial" w:eastAsia="Arial" w:hAnsi="Arial"/>
          <w:sz w:val="17"/>
          <w:szCs w:val="17"/>
          <w:color w:val="auto"/>
        </w:rPr>
        <w:t>increasing levels of customer payment delinquencies and related write-offs, which would result in an unfavorable impact on our performance.</w:t>
      </w:r>
    </w:p>
    <w:p>
      <w:pPr>
        <w:spacing w:after="0" w:line="10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significant increase in inflation and interest rates, and fears of a possible recession have also unfavorably impacted consumer confidence within our customer base, resulting in a decrease in demand for the types of merchandise offered by many of our key national and regional POS partners. In light of these macroeconomic challenges and to align the cost structure of our business with our near-term revenue outlook, the Company executed on a number of cost reduction initiatives during 2022 and 2023 to drive efficiencies and right-size variable costs, while attempting to minimize the negative impact on growth-related initiatives.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Cybersecurity Incident</w:t>
      </w:r>
    </w:p>
    <w:p>
      <w:pPr>
        <w:spacing w:after="0" w:line="108"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As previously disclosed by the Company on September 21, 2023, Progressive Leasing recently experienced a cybersecurity incident affecting certain data and IT systems of Progressive Leasing. Promptly after detecting the incident, the Company engaged third-party cybersecurity experts and took immediate steps to respond to, remediate and investigate the incident. Law enforcement was also notified. While the Company's investigation into the incident, including identification of the data involved, remains ongoing, at this time, we believe the incident has been contained and there is no ongoing operational impact on our ability to provide our products and services. We maintain insurance, including coverage for cyber-attacks, subject to certain deductibles and policy limitations, in an amount that we believe appropriate. See Item 1A. Risk Factors for a discussion regarding our cybersecurity risks.</w:t>
      </w:r>
    </w:p>
    <w:p>
      <w:pPr>
        <w:spacing w:after="0" w:line="43"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During the three and nine months ended September 30, 2023, the Company incurred $1.8 million for actual and anticipated costs related to the cybersecurity incident. These costs related primarily to third-party legal and consulting services, and credit monitoring services for Progressive Leasing's customers and employees that were impacted, and are included within professional services expense as a component of operating expenses in the condensed consolidated statements of earnings. The full scope of the costs and related impacts of this incident, including the extent to which these costs will be offset by the Company’s cybersecurity insurance, has not been determined. Although the Company is unable to predict the full impact of this incident, the Company does not currently expect that it will have a material effect on the Company’s financial condition and results of operations.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significant financial highlights from the three months ended September 30, 2023:</w:t>
      </w:r>
    </w:p>
    <w:p>
      <w:pPr>
        <w:spacing w:after="0" w:line="104" w:lineRule="exact"/>
        <w:rPr>
          <w:sz w:val="20"/>
          <w:szCs w:val="20"/>
          <w:color w:val="auto"/>
        </w:rPr>
      </w:pPr>
    </w:p>
    <w:p>
      <w:pPr>
        <w:ind w:left="660" w:right="40" w:hanging="328"/>
        <w:spacing w:after="0" w:line="257" w:lineRule="auto"/>
        <w:tabs>
          <w:tab w:leader="none" w:pos="656" w:val="left"/>
        </w:tabs>
        <w:numPr>
          <w:ilvl w:val="0"/>
          <w:numId w:val="9"/>
        </w:numPr>
        <w:rPr>
          <w:rFonts w:ascii="Arial" w:cs="Arial" w:eastAsia="Arial" w:hAnsi="Arial"/>
          <w:sz w:val="14"/>
          <w:szCs w:val="14"/>
          <w:b w:val="1"/>
          <w:bCs w:val="1"/>
          <w:i w:val="1"/>
          <w:iCs w:val="1"/>
          <w:color w:val="auto"/>
        </w:rPr>
      </w:pPr>
      <w:r>
        <w:rPr>
          <w:rFonts w:ascii="Arial" w:cs="Arial" w:eastAsia="Arial" w:hAnsi="Arial"/>
          <w:sz w:val="18"/>
          <w:szCs w:val="18"/>
          <w:color w:val="auto"/>
        </w:rPr>
        <w:t>We reported revenues of $582.9 million, a decrease of 6.9% compared to the third quarter of 2022. The decrease in revenues was primarily due to a smaller lease portfolio, which was a result of the tightened lease decisioning implemented by Progressive Leasing in mid-2022; decreased customer demand for many of the products offered by our POS partners; and a decline in the number of customers electing to exercise early lease buyouts when compared to the same period in the prior year. The decline in revenues was partially offset by improved customer payment activity in the third quarter of 2023, as compared to the third quarter of 2022.</w:t>
      </w:r>
    </w:p>
    <w:p>
      <w:pPr>
        <w:spacing w:after="0" w:line="66" w:lineRule="exact"/>
        <w:rPr>
          <w:rFonts w:ascii="Arial" w:cs="Arial" w:eastAsia="Arial" w:hAnsi="Arial"/>
          <w:sz w:val="14"/>
          <w:szCs w:val="14"/>
          <w:b w:val="1"/>
          <w:bCs w:val="1"/>
          <w:i w:val="1"/>
          <w:iCs w:val="1"/>
          <w:color w:val="auto"/>
        </w:rPr>
      </w:pPr>
    </w:p>
    <w:p>
      <w:pPr>
        <w:ind w:left="660" w:right="60" w:hanging="328"/>
        <w:spacing w:after="0" w:line="257" w:lineRule="auto"/>
        <w:tabs>
          <w:tab w:leader="none" w:pos="656" w:val="left"/>
        </w:tabs>
        <w:numPr>
          <w:ilvl w:val="0"/>
          <w:numId w:val="9"/>
        </w:numPr>
        <w:rPr>
          <w:rFonts w:ascii="Arial" w:cs="Arial" w:eastAsia="Arial" w:hAnsi="Arial"/>
          <w:sz w:val="14"/>
          <w:szCs w:val="14"/>
          <w:b w:val="1"/>
          <w:bCs w:val="1"/>
          <w:i w:val="1"/>
          <w:iCs w:val="1"/>
          <w:color w:val="auto"/>
        </w:rPr>
      </w:pPr>
      <w:r>
        <w:rPr>
          <w:rFonts w:ascii="Arial" w:cs="Arial" w:eastAsia="Arial" w:hAnsi="Arial"/>
          <w:sz w:val="18"/>
          <w:szCs w:val="18"/>
          <w:color w:val="auto"/>
        </w:rPr>
        <w:t>GMV decreased by $28.2 million for Progressive Leasing and $12.7 million for Vive in the third quarter of 2023, compared to the same period in the prior year. These decreases were due to a decrease in demand for many of the products offered by Progressive Leasing's POS partners and tighter loan decisioning for Vive, resulting in fewer leases and loan originations. These negative impacts were partially offset by GMV from our other operations, which increased by $3.8 million primarily due to an increase in Four loan originations in the third quarter of 2023 compared to the third quarter of 2022.</w:t>
      </w:r>
    </w:p>
    <w:p>
      <w:pPr>
        <w:spacing w:after="0" w:line="52" w:lineRule="exact"/>
        <w:rPr>
          <w:rFonts w:ascii="Arial" w:cs="Arial" w:eastAsia="Arial" w:hAnsi="Arial"/>
          <w:sz w:val="14"/>
          <w:szCs w:val="14"/>
          <w:b w:val="1"/>
          <w:bCs w:val="1"/>
          <w:i w:val="1"/>
          <w:iCs w:val="1"/>
          <w:color w:val="auto"/>
        </w:rPr>
      </w:pPr>
    </w:p>
    <w:p>
      <w:pPr>
        <w:ind w:left="660" w:hanging="328"/>
        <w:spacing w:after="0" w:line="259" w:lineRule="auto"/>
        <w:tabs>
          <w:tab w:leader="none" w:pos="656" w:val="left"/>
        </w:tabs>
        <w:numPr>
          <w:ilvl w:val="0"/>
          <w:numId w:val="9"/>
        </w:numPr>
        <w:rPr>
          <w:rFonts w:ascii="Arial" w:cs="Arial" w:eastAsia="Arial" w:hAnsi="Arial"/>
          <w:sz w:val="14"/>
          <w:szCs w:val="14"/>
          <w:b w:val="1"/>
          <w:bCs w:val="1"/>
          <w:i w:val="1"/>
          <w:iCs w:val="1"/>
          <w:color w:val="auto"/>
        </w:rPr>
      </w:pPr>
      <w:r>
        <w:rPr>
          <w:rFonts w:ascii="Arial" w:cs="Arial" w:eastAsia="Arial" w:hAnsi="Arial"/>
          <w:sz w:val="18"/>
          <w:szCs w:val="18"/>
          <w:color w:val="auto"/>
        </w:rPr>
        <w:t>Earnings before income taxes increased to $48.1 million compared to $27.3 million in the same period in 2022. The increase was primarily driven by improved customer payment activity; the absence of a goodwill impairment loss in the third quarter of 2023, as compared to third quarter of 2022; lower restructuring costs; and an increase in interest income on the Company's cash and cash equivalent deposits resulting from higher interest rates, partially offset by higher stock-based compensation expense.</w:t>
      </w:r>
    </w:p>
    <w:p>
      <w:pPr>
        <w:spacing w:after="0" w:line="200" w:lineRule="exact"/>
        <w:rPr>
          <w:sz w:val="20"/>
          <w:szCs w:val="20"/>
          <w:color w:val="auto"/>
        </w:rPr>
      </w:pPr>
    </w:p>
    <w:p>
      <w:pPr>
        <w:spacing w:after="0" w:line="3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30" w:right="39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Key Operating Metrics</w:t>
      </w:r>
    </w:p>
    <w:p>
      <w:pPr>
        <w:spacing w:after="0" w:line="108"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i w:val="1"/>
          <w:iCs w:val="1"/>
          <w:color w:val="auto"/>
        </w:rPr>
        <w:t>Gross Merchandise Volume</w:t>
      </w:r>
      <w:r>
        <w:rPr>
          <w:rFonts w:ascii="Arial" w:cs="Arial" w:eastAsia="Arial" w:hAnsi="Arial"/>
          <w:sz w:val="18"/>
          <w:szCs w:val="18"/>
          <w:color w:val="auto"/>
        </w:rPr>
        <w:t>. We believe GMV is a key performance indicator of our Progressive Leasing and Vive segments, as it provides the total value</w:t>
      </w:r>
      <w:r>
        <w:rPr>
          <w:rFonts w:ascii="Arial" w:cs="Arial" w:eastAsia="Arial" w:hAnsi="Arial"/>
          <w:sz w:val="18"/>
          <w:szCs w:val="18"/>
          <w:i w:val="1"/>
          <w:iCs w:val="1"/>
          <w:color w:val="auto"/>
        </w:rPr>
        <w:t xml:space="preserve"> </w:t>
      </w:r>
      <w:r>
        <w:rPr>
          <w:rFonts w:ascii="Arial" w:cs="Arial" w:eastAsia="Arial" w:hAnsi="Arial"/>
          <w:sz w:val="18"/>
          <w:szCs w:val="18"/>
          <w:color w:val="auto"/>
        </w:rPr>
        <w:t>of new leases and loans written into our portfolio over a specified time period. GMV does not represent revenues earned by the Company, but rather is a leading indicator we use in forecasting revenues the Company may earn in the short-term. Progressive Leasing's GMV is defined as the retail price of merchandise acquired by Progressive Leasing, which it then expects to lease to its customers. GMV for Vive and Other are defined as gross loan originations.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GMV for the Company for the periods presented: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60" w:type="dxa"/>
            <w:vAlign w:val="bottom"/>
            <w:gridSpan w:val="2"/>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2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rPr>
              <w:t>Change</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(Unaudited and In Thousands)</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2023</w:t>
            </w:r>
          </w:p>
        </w:tc>
        <w:tc>
          <w:tcPr>
            <w:tcW w:w="6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w w:val="89"/>
              </w:rPr>
              <w:t>2022</w:t>
            </w:r>
          </w:p>
        </w:tc>
        <w:tc>
          <w:tcPr>
            <w:tcW w:w="4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1096"/>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Progressive Leasing</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409,169</w:t>
            </w:r>
          </w:p>
        </w:tc>
        <w:tc>
          <w:tcPr>
            <w:tcW w:w="6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437,417</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516"/>
              <w:spacing w:after="0"/>
              <w:rPr>
                <w:sz w:val="20"/>
                <w:szCs w:val="20"/>
                <w:color w:val="auto"/>
              </w:rPr>
            </w:pPr>
            <w:r>
              <w:rPr>
                <w:rFonts w:ascii="Arial" w:cs="Arial" w:eastAsia="Arial" w:hAnsi="Arial"/>
                <w:sz w:val="18"/>
                <w:szCs w:val="18"/>
                <w:color w:val="auto"/>
              </w:rPr>
              <w:t>(28,248)</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Vive</w:t>
            </w:r>
          </w:p>
        </w:tc>
        <w:tc>
          <w:tcPr>
            <w:tcW w:w="340" w:type="dxa"/>
            <w:vAlign w:val="bottom"/>
          </w:tcPr>
          <w:p>
            <w:pPr>
              <w:spacing w:after="0"/>
              <w:rPr>
                <w:sz w:val="19"/>
                <w:szCs w:val="19"/>
                <w:color w:val="auto"/>
              </w:rPr>
            </w:pPr>
          </w:p>
        </w:tc>
        <w:tc>
          <w:tcPr>
            <w:tcW w:w="1180" w:type="dxa"/>
            <w:vAlign w:val="bottom"/>
          </w:tcPr>
          <w:p>
            <w:pPr>
              <w:jc w:val="right"/>
              <w:ind w:right="18"/>
              <w:spacing w:after="0"/>
              <w:rPr>
                <w:sz w:val="20"/>
                <w:szCs w:val="20"/>
                <w:color w:val="auto"/>
              </w:rPr>
            </w:pPr>
            <w:r>
              <w:rPr>
                <w:rFonts w:ascii="Arial" w:cs="Arial" w:eastAsia="Arial" w:hAnsi="Arial"/>
                <w:sz w:val="18"/>
                <w:szCs w:val="18"/>
                <w:color w:val="auto"/>
              </w:rPr>
              <w:t>35,243</w:t>
            </w:r>
          </w:p>
        </w:tc>
        <w:tc>
          <w:tcPr>
            <w:tcW w:w="680" w:type="dxa"/>
            <w:vAlign w:val="bottom"/>
          </w:tcPr>
          <w:p>
            <w:pPr>
              <w:spacing w:after="0"/>
              <w:rPr>
                <w:sz w:val="19"/>
                <w:szCs w:val="19"/>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47,967</w:t>
            </w:r>
          </w:p>
        </w:tc>
        <w:tc>
          <w:tcPr>
            <w:tcW w:w="440" w:type="dxa"/>
            <w:vAlign w:val="bottom"/>
          </w:tcPr>
          <w:p>
            <w:pPr>
              <w:spacing w:after="0"/>
              <w:rPr>
                <w:sz w:val="19"/>
                <w:szCs w:val="19"/>
                <w:color w:val="auto"/>
              </w:rPr>
            </w:pPr>
          </w:p>
        </w:tc>
        <w:tc>
          <w:tcPr>
            <w:tcW w:w="1520" w:type="dxa"/>
            <w:vAlign w:val="bottom"/>
          </w:tcPr>
          <w:p>
            <w:pPr>
              <w:jc w:val="right"/>
              <w:ind w:right="516"/>
              <w:spacing w:after="0"/>
              <w:rPr>
                <w:sz w:val="20"/>
                <w:szCs w:val="20"/>
                <w:color w:val="auto"/>
              </w:rPr>
            </w:pPr>
            <w:r>
              <w:rPr>
                <w:rFonts w:ascii="Arial" w:cs="Arial" w:eastAsia="Arial" w:hAnsi="Arial"/>
                <w:sz w:val="18"/>
                <w:szCs w:val="18"/>
                <w:color w:val="auto"/>
              </w:rPr>
              <w:t>(12,724)</w:t>
            </w:r>
          </w:p>
        </w:tc>
        <w:tc>
          <w:tcPr>
            <w:tcW w:w="1000" w:type="dxa"/>
            <w:vAlign w:val="bottom"/>
          </w:tcPr>
          <w:p>
            <w:pPr>
              <w:jc w:val="right"/>
              <w:ind w:right="94"/>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19,632</w:t>
            </w:r>
          </w:p>
        </w:tc>
        <w:tc>
          <w:tcPr>
            <w:tcW w:w="6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15,786</w:t>
            </w:r>
          </w:p>
        </w:tc>
        <w:tc>
          <w:tcPr>
            <w:tcW w:w="4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8"/>
                <w:szCs w:val="18"/>
                <w:color w:val="auto"/>
              </w:rPr>
              <w:t>3,846</w:t>
            </w:r>
          </w:p>
        </w:tc>
        <w:tc>
          <w:tcPr>
            <w:tcW w:w="10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b w:val="1"/>
                <w:bCs w:val="1"/>
                <w:color w:val="auto"/>
              </w:rPr>
              <w:t>Total GMV</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464,044</w:t>
            </w:r>
          </w:p>
        </w:tc>
        <w:tc>
          <w:tcPr>
            <w:tcW w:w="6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501,170</w:t>
            </w:r>
          </w:p>
        </w:tc>
        <w:tc>
          <w:tcPr>
            <w:tcW w:w="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ind w:right="516"/>
              <w:spacing w:after="0"/>
              <w:rPr>
                <w:sz w:val="20"/>
                <w:szCs w:val="20"/>
                <w:color w:val="auto"/>
              </w:rPr>
            </w:pPr>
            <w:r>
              <w:rPr>
                <w:rFonts w:ascii="Arial" w:cs="Arial" w:eastAsia="Arial" w:hAnsi="Arial"/>
                <w:sz w:val="18"/>
                <w:szCs w:val="18"/>
                <w:color w:val="auto"/>
              </w:rPr>
              <w:t>(37,126)</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decrease in Progressive Leasing's GMV was primarily due to a decrease in customer demand for many of the products offered by our POS partners. The decrease in Vive's GMV was primarily a result of tighter loan decisioning in mid-2022 to address the unfavorable economic conditions that were present in 2022, resulting in fewer loan approvals. We believe these factors have unfavorably impacted the generation of new leases and loans. E-commerce channels generated 14.8% of Progressive Leasing's GMV in the third quarter of 2023 compared to 16.5% in the third quarter of 2022. The decrease in total GMV was partially offset by an increase in GMV from our other operations, primarily due to an increase in Four loan originations.</w:t>
      </w:r>
    </w:p>
    <w:p>
      <w:pPr>
        <w:spacing w:after="0" w:line="40"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i w:val="1"/>
          <w:iCs w:val="1"/>
          <w:color w:val="auto"/>
        </w:rPr>
        <w:t xml:space="preserve">Active Customer Count. </w:t>
      </w:r>
      <w:r>
        <w:rPr>
          <w:rFonts w:ascii="Arial" w:cs="Arial" w:eastAsia="Arial" w:hAnsi="Arial"/>
          <w:sz w:val="17"/>
          <w:szCs w:val="17"/>
          <w:color w:val="auto"/>
        </w:rPr>
        <w:t>Our active customer count represents the total number of customers that have an active lease agreement with Progressive Leasing,</w:t>
      </w:r>
      <w:r>
        <w:rPr>
          <w:rFonts w:ascii="Arial" w:cs="Arial" w:eastAsia="Arial" w:hAnsi="Arial"/>
          <w:sz w:val="17"/>
          <w:szCs w:val="17"/>
          <w:i w:val="1"/>
          <w:iCs w:val="1"/>
          <w:color w:val="auto"/>
        </w:rPr>
        <w:t xml:space="preserve"> </w:t>
      </w:r>
      <w:r>
        <w:rPr>
          <w:rFonts w:ascii="Arial" w:cs="Arial" w:eastAsia="Arial" w:hAnsi="Arial"/>
          <w:sz w:val="17"/>
          <w:szCs w:val="17"/>
          <w:color w:val="auto"/>
        </w:rPr>
        <w:t>or an active loan with Vive or Four. The following table presents our consolidated active customer count, which includes an immaterial number of customers that have both an active lease agreement and loan agreement, for the Company for the periods presented: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40" w:type="dxa"/>
            <w:vAlign w:val="bottom"/>
          </w:tcPr>
          <w:p>
            <w:pPr>
              <w:ind w:left="20"/>
              <w:spacing w:after="0"/>
              <w:rPr>
                <w:sz w:val="20"/>
                <w:szCs w:val="20"/>
                <w:color w:val="auto"/>
              </w:rPr>
            </w:pPr>
            <w:r>
              <w:rPr>
                <w:rFonts w:ascii="Arial" w:cs="Arial" w:eastAsia="Arial" w:hAnsi="Arial"/>
                <w:sz w:val="14"/>
                <w:szCs w:val="14"/>
                <w:b w:val="1"/>
                <w:bCs w:val="1"/>
                <w:color w:val="auto"/>
              </w:rPr>
              <w:t>As of September 30 (Unaudited and In Thousands)</w:t>
            </w:r>
          </w:p>
        </w:tc>
        <w:tc>
          <w:tcPr>
            <w:tcW w:w="2000" w:type="dxa"/>
            <w:vAlign w:val="bottom"/>
          </w:tcPr>
          <w:p>
            <w:pPr>
              <w:jc w:val="right"/>
              <w:ind w:right="954"/>
              <w:spacing w:after="0"/>
              <w:rPr>
                <w:sz w:val="20"/>
                <w:szCs w:val="20"/>
                <w:color w:val="auto"/>
              </w:rPr>
            </w:pPr>
            <w:r>
              <w:rPr>
                <w:rFonts w:ascii="Arial" w:cs="Arial" w:eastAsia="Arial" w:hAnsi="Arial"/>
                <w:sz w:val="14"/>
                <w:szCs w:val="14"/>
                <w:b w:val="1"/>
                <w:bCs w:val="1"/>
                <w:color w:val="auto"/>
              </w:rPr>
              <w:t>2023</w:t>
            </w:r>
          </w:p>
        </w:tc>
        <w:tc>
          <w:tcPr>
            <w:tcW w:w="1400" w:type="dxa"/>
            <w:vAlign w:val="bottom"/>
          </w:tcPr>
          <w:p>
            <w:pPr>
              <w:jc w:val="right"/>
              <w:ind w:right="594"/>
              <w:spacing w:after="0"/>
              <w:rPr>
                <w:sz w:val="20"/>
                <w:szCs w:val="20"/>
                <w:color w:val="auto"/>
              </w:rPr>
            </w:pPr>
            <w:r>
              <w:rPr>
                <w:rFonts w:ascii="Arial" w:cs="Arial" w:eastAsia="Arial" w:hAnsi="Arial"/>
                <w:sz w:val="14"/>
                <w:szCs w:val="14"/>
                <w:b w:val="1"/>
                <w:bCs w:val="1"/>
                <w:color w:val="auto"/>
              </w:rPr>
              <w:t>2022</w:t>
            </w:r>
          </w:p>
        </w:tc>
      </w:tr>
      <w:tr>
        <w:trPr>
          <w:trHeight w:val="25"/>
        </w:trPr>
        <w:tc>
          <w:tcPr>
            <w:tcW w:w="78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Active Customer Count:</w:t>
            </w:r>
          </w:p>
        </w:tc>
        <w:tc>
          <w:tcPr>
            <w:tcW w:w="20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0"/>
        </w:trPr>
        <w:tc>
          <w:tcPr>
            <w:tcW w:w="7840" w:type="dxa"/>
            <w:vAlign w:val="bottom"/>
          </w:tcPr>
          <w:p>
            <w:pPr>
              <w:ind w:left="240"/>
              <w:spacing w:after="0"/>
              <w:rPr>
                <w:sz w:val="20"/>
                <w:szCs w:val="20"/>
                <w:color w:val="auto"/>
              </w:rPr>
            </w:pPr>
            <w:r>
              <w:rPr>
                <w:rFonts w:ascii="Arial" w:cs="Arial" w:eastAsia="Arial" w:hAnsi="Arial"/>
                <w:sz w:val="18"/>
                <w:szCs w:val="18"/>
                <w:color w:val="auto"/>
              </w:rPr>
              <w:t>Progressive Leasing</w:t>
            </w:r>
          </w:p>
        </w:tc>
        <w:tc>
          <w:tcPr>
            <w:tcW w:w="2000" w:type="dxa"/>
            <w:vAlign w:val="bottom"/>
          </w:tcPr>
          <w:p>
            <w:pPr>
              <w:jc w:val="right"/>
              <w:ind w:right="334"/>
              <w:spacing w:after="0"/>
              <w:rPr>
                <w:sz w:val="20"/>
                <w:szCs w:val="20"/>
                <w:color w:val="auto"/>
              </w:rPr>
            </w:pPr>
            <w:r>
              <w:rPr>
                <w:rFonts w:ascii="Arial" w:cs="Arial" w:eastAsia="Arial" w:hAnsi="Arial"/>
                <w:sz w:val="18"/>
                <w:szCs w:val="18"/>
                <w:color w:val="auto"/>
              </w:rPr>
              <w:t>820</w:t>
            </w:r>
          </w:p>
        </w:tc>
        <w:tc>
          <w:tcPr>
            <w:tcW w:w="1400" w:type="dxa"/>
            <w:vAlign w:val="bottom"/>
          </w:tcPr>
          <w:p>
            <w:pPr>
              <w:jc w:val="right"/>
              <w:spacing w:after="0"/>
              <w:rPr>
                <w:sz w:val="20"/>
                <w:szCs w:val="20"/>
                <w:color w:val="auto"/>
              </w:rPr>
            </w:pPr>
            <w:r>
              <w:rPr>
                <w:rFonts w:ascii="Arial" w:cs="Arial" w:eastAsia="Arial" w:hAnsi="Arial"/>
                <w:sz w:val="18"/>
                <w:szCs w:val="18"/>
                <w:color w:val="auto"/>
              </w:rPr>
              <w:t>915</w:t>
            </w:r>
          </w:p>
        </w:tc>
      </w:tr>
      <w:tr>
        <w:trPr>
          <w:trHeight w:val="230"/>
        </w:trPr>
        <w:tc>
          <w:tcPr>
            <w:tcW w:w="78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Vive</w:t>
            </w:r>
          </w:p>
        </w:tc>
        <w:tc>
          <w:tcPr>
            <w:tcW w:w="200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rPr>
              <w:t>88</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29"/>
        </w:trPr>
        <w:tc>
          <w:tcPr>
            <w:tcW w:w="78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w:t>
            </w:r>
          </w:p>
        </w:tc>
        <w:tc>
          <w:tcPr>
            <w:tcW w:w="2000" w:type="dxa"/>
            <w:vAlign w:val="bottom"/>
            <w:tcBorders>
              <w:bottom w:val="single" w:sz="8" w:color="auto"/>
            </w:tcBorders>
          </w:tcPr>
          <w:p>
            <w:pPr>
              <w:jc w:val="right"/>
              <w:ind w:right="334"/>
              <w:spacing w:after="0"/>
              <w:rPr>
                <w:sz w:val="20"/>
                <w:szCs w:val="20"/>
                <w:color w:val="auto"/>
              </w:rPr>
            </w:pPr>
            <w:r>
              <w:rPr>
                <w:rFonts w:ascii="Arial" w:cs="Arial" w:eastAsia="Arial" w:hAnsi="Arial"/>
                <w:sz w:val="18"/>
                <w:szCs w:val="18"/>
                <w:color w:val="auto"/>
              </w:rPr>
              <w:t>35</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Active Customer Count</w:t>
            </w:r>
          </w:p>
        </w:tc>
        <w:tc>
          <w:tcPr>
            <w:tcW w:w="2000" w:type="dxa"/>
            <w:vAlign w:val="bottom"/>
            <w:tcBorders>
              <w:bottom w:val="single" w:sz="8" w:color="auto"/>
            </w:tcBorders>
            <w:shd w:val="clear" w:color="auto" w:fill="CCEEFF"/>
          </w:tcPr>
          <w:p>
            <w:pPr>
              <w:jc w:val="right"/>
              <w:ind w:right="334"/>
              <w:spacing w:after="0"/>
              <w:rPr>
                <w:sz w:val="20"/>
                <w:szCs w:val="20"/>
                <w:color w:val="auto"/>
              </w:rPr>
            </w:pPr>
            <w:r>
              <w:rPr>
                <w:rFonts w:ascii="Arial" w:cs="Arial" w:eastAsia="Arial" w:hAnsi="Arial"/>
                <w:sz w:val="18"/>
                <w:szCs w:val="18"/>
                <w:color w:val="auto"/>
              </w:rPr>
              <w:t>943</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decrease in the number of Progressive Leasing customers was primarily due to a decrease in customer demand for the types of merchandise typically purchased through our lease-to-own solutions and the tightening of our lease decisioning in mid-2022 to address the unfavorable economic conditions that were driving higher customer payment delinquencies and uncollectible renewal payments during much of 2022. The decrease in Vive customers was primarily due to a reduction in loan originations as the result of tightened decisioning in mid-2022. These decreases were partially offset by an increase in the number of customers for our other strategic businesses.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Key Components of Earnings Before Income Taxes</w:t>
      </w:r>
    </w:p>
    <w:p>
      <w:pPr>
        <w:spacing w:after="0" w:line="108"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In this MD&amp;A section, we review our condensed consolidated results. For the three and nine months ended September 30, 2023 and the comparable prior year period, some of the key revenue, cost and expense items that affected earnings before income taxes were as follows:</w:t>
      </w:r>
    </w:p>
    <w:p>
      <w:pPr>
        <w:spacing w:after="0" w:line="1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Revenues</w:t>
      </w:r>
      <w:r>
        <w:rPr>
          <w:rFonts w:ascii="Arial" w:cs="Arial" w:eastAsia="Arial" w:hAnsi="Arial"/>
          <w:sz w:val="18"/>
          <w:szCs w:val="18"/>
          <w:color w:val="auto"/>
        </w:rPr>
        <w:t>. We separate our total revenues into two components: (i) lease revenues and fees and (ii) interest and fees on loans receivable. Lease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and fees include all revenues derived from lease agreements from our Progressive Leasing segment. Lease revenues are recorded net of a provision for uncollectible renewal payments. Interest and fees on loans receivable represents merchant fees, finance charges and annual and other fees earned on outstanding loans in our Vive segment and, to a lesser extent, from Four.</w:t>
      </w:r>
    </w:p>
    <w:p>
      <w:pPr>
        <w:spacing w:after="0" w:line="65"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Depreciation of Lease Merchandise</w:t>
      </w:r>
      <w:r>
        <w:rPr>
          <w:rFonts w:ascii="Arial" w:cs="Arial" w:eastAsia="Arial" w:hAnsi="Arial"/>
          <w:sz w:val="18"/>
          <w:szCs w:val="18"/>
          <w:color w:val="auto"/>
        </w:rPr>
        <w:t>. Depreciation of lease merchandise reflects the expense associated with depreciating merchandise leased to customers</w:t>
      </w:r>
      <w:r>
        <w:rPr>
          <w:rFonts w:ascii="Arial" w:cs="Arial" w:eastAsia="Arial" w:hAnsi="Arial"/>
          <w:sz w:val="18"/>
          <w:szCs w:val="18"/>
          <w:i w:val="1"/>
          <w:iCs w:val="1"/>
          <w:color w:val="auto"/>
        </w:rPr>
        <w:t xml:space="preserve"> </w:t>
      </w:r>
      <w:r>
        <w:rPr>
          <w:rFonts w:ascii="Arial" w:cs="Arial" w:eastAsia="Arial" w:hAnsi="Arial"/>
          <w:sz w:val="18"/>
          <w:szCs w:val="18"/>
          <w:color w:val="auto"/>
        </w:rPr>
        <w:t>by Progressive Leasing.</w:t>
      </w:r>
    </w:p>
    <w:p>
      <w:pPr>
        <w:spacing w:after="0" w:line="49"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i w:val="1"/>
          <w:iCs w:val="1"/>
          <w:color w:val="auto"/>
        </w:rPr>
        <w:t xml:space="preserve">Provision for Lease Merchandise Write-offs. </w:t>
      </w:r>
      <w:r>
        <w:rPr>
          <w:rFonts w:ascii="Arial" w:cs="Arial" w:eastAsia="Arial" w:hAnsi="Arial"/>
          <w:sz w:val="17"/>
          <w:szCs w:val="17"/>
          <w:color w:val="auto"/>
        </w:rPr>
        <w:t>The provision for lease merchandise write-offs represents the estimated merchandise losses incurred but not</w:t>
      </w:r>
      <w:r>
        <w:rPr>
          <w:rFonts w:ascii="Arial" w:cs="Arial" w:eastAsia="Arial" w:hAnsi="Arial"/>
          <w:sz w:val="17"/>
          <w:szCs w:val="17"/>
          <w:i w:val="1"/>
          <w:iCs w:val="1"/>
          <w:color w:val="auto"/>
        </w:rPr>
        <w:t xml:space="preserve"> </w:t>
      </w:r>
      <w:r>
        <w:rPr>
          <w:rFonts w:ascii="Arial" w:cs="Arial" w:eastAsia="Arial" w:hAnsi="Arial"/>
          <w:sz w:val="17"/>
          <w:szCs w:val="17"/>
          <w:color w:val="auto"/>
        </w:rPr>
        <w:t>yet identified by management and adjustments for changes in estimates for the allowance for lease merchandise write-offs.</w:t>
      </w:r>
    </w:p>
    <w:p>
      <w:pPr>
        <w:spacing w:after="0" w:line="1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i w:val="1"/>
          <w:iCs w:val="1"/>
          <w:color w:val="auto"/>
        </w:rPr>
        <w:t>Operating Expenses</w:t>
      </w:r>
      <w:r>
        <w:rPr>
          <w:rFonts w:ascii="Arial" w:cs="Arial" w:eastAsia="Arial" w:hAnsi="Arial"/>
          <w:sz w:val="18"/>
          <w:szCs w:val="18"/>
          <w:color w:val="auto"/>
        </w:rPr>
        <w:t>. Operating expenses include personnel costs, stock-based compensation expense, occupancy costs, advertising, professional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sales acquisition expense, computer software expense, bank service charges, the provision for loan losses, fixed asset depreciation expense, intangible asset amortization, and restructuring expense, among other expenses.</w:t>
      </w:r>
    </w:p>
    <w:p>
      <w:pPr>
        <w:spacing w:after="0" w:line="62"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i w:val="1"/>
          <w:iCs w:val="1"/>
          <w:color w:val="auto"/>
        </w:rPr>
        <w:t>Impairment of Goodwill</w:t>
      </w:r>
      <w:r>
        <w:rPr>
          <w:rFonts w:ascii="Arial" w:cs="Arial" w:eastAsia="Arial" w:hAnsi="Arial"/>
          <w:sz w:val="18"/>
          <w:szCs w:val="18"/>
          <w:color w:val="auto"/>
        </w:rPr>
        <w:t>. Impairment of goodwill is the partial write-off of the goodwill balance at the Four reporting unit. Refer to Note 1 of these</w:t>
      </w:r>
      <w:r>
        <w:rPr>
          <w:rFonts w:ascii="Arial" w:cs="Arial" w:eastAsia="Arial" w:hAnsi="Arial"/>
          <w:sz w:val="18"/>
          <w:szCs w:val="18"/>
          <w:i w:val="1"/>
          <w:iCs w:val="1"/>
          <w:color w:val="auto"/>
        </w:rPr>
        <w:t xml:space="preserve"> </w:t>
      </w:r>
      <w:r>
        <w:rPr>
          <w:rFonts w:ascii="Arial" w:cs="Arial" w:eastAsia="Arial" w:hAnsi="Arial"/>
          <w:sz w:val="18"/>
          <w:szCs w:val="18"/>
          <w:color w:val="auto"/>
        </w:rPr>
        <w:t>condensed consolidated financial statements for further discussion of the interim goodwill impairment assessment and resulting impairment charge that occurred in the third quarter of 2022.</w:t>
      </w:r>
    </w:p>
    <w:p>
      <w:pPr>
        <w:spacing w:after="0" w:line="62"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i w:val="1"/>
          <w:iCs w:val="1"/>
          <w:color w:val="auto"/>
        </w:rPr>
        <w:t xml:space="preserve">Interest Expense, Net. </w:t>
      </w:r>
      <w:r>
        <w:rPr>
          <w:rFonts w:ascii="Arial" w:cs="Arial" w:eastAsia="Arial" w:hAnsi="Arial"/>
          <w:sz w:val="16"/>
          <w:szCs w:val="16"/>
          <w:color w:val="auto"/>
        </w:rPr>
        <w:t>Interest expense, net consists of interest incurred on the Company's Senior Notes and senior secured revolving credit facility (the</w:t>
      </w:r>
      <w:r>
        <w:rPr>
          <w:rFonts w:ascii="Arial" w:cs="Arial" w:eastAsia="Arial" w:hAnsi="Arial"/>
          <w:sz w:val="16"/>
          <w:szCs w:val="16"/>
          <w:i w:val="1"/>
          <w:iCs w:val="1"/>
          <w:color w:val="auto"/>
        </w:rPr>
        <w:t xml:space="preserve"> </w:t>
      </w:r>
      <w:r>
        <w:rPr>
          <w:rFonts w:ascii="Arial" w:cs="Arial" w:eastAsia="Arial" w:hAnsi="Arial"/>
          <w:sz w:val="16"/>
          <w:szCs w:val="16"/>
          <w:color w:val="auto"/>
        </w:rPr>
        <w:t>"Revolving Facility"). Interest expense is presented net of interest income earned on the Company's deposits in cash and cash equivalents.</w:t>
      </w:r>
    </w:p>
    <w:p>
      <w:pPr>
        <w:spacing w:after="0" w:line="200" w:lineRule="exact"/>
        <w:rPr>
          <w:sz w:val="20"/>
          <w:szCs w:val="20"/>
          <w:color w:val="auto"/>
        </w:rPr>
      </w:pPr>
    </w:p>
    <w:p>
      <w:pPr>
        <w:spacing w:after="0" w:line="30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093" w:right="47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Results of Operations – Three months ended September 30, 2023 and 2022</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40" w:type="dxa"/>
            <w:vAlign w:val="bottom"/>
            <w:gridSpan w:val="3"/>
          </w:tcPr>
          <w:p>
            <w:pPr>
              <w:jc w:val="right"/>
              <w:ind w:right="791"/>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50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Change</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1092"/>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tcPr>
          <w:p>
            <w:pPr>
              <w:ind w:left="360"/>
              <w:spacing w:after="0"/>
              <w:rPr>
                <w:sz w:val="20"/>
                <w:szCs w:val="20"/>
                <w:color w:val="auto"/>
              </w:rPr>
            </w:pPr>
            <w:r>
              <w:rPr>
                <w:rFonts w:ascii="Arial" w:cs="Arial" w:eastAsia="Arial" w:hAnsi="Arial"/>
                <w:sz w:val="18"/>
                <w:szCs w:val="18"/>
                <w:color w:val="auto"/>
              </w:rPr>
              <w:t>Lease Revenues and Fees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564,183</w:t>
            </w:r>
          </w:p>
        </w:tc>
        <w:tc>
          <w:tcPr>
            <w:tcW w:w="5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606,585</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492"/>
              <w:spacing w:after="0"/>
              <w:rPr>
                <w:sz w:val="20"/>
                <w:szCs w:val="20"/>
                <w:color w:val="auto"/>
              </w:rPr>
            </w:pPr>
            <w:r>
              <w:rPr>
                <w:rFonts w:ascii="Arial" w:cs="Arial" w:eastAsia="Arial" w:hAnsi="Arial"/>
                <w:sz w:val="18"/>
                <w:szCs w:val="18"/>
                <w:color w:val="auto"/>
              </w:rPr>
              <w:t>(42,402)</w:t>
            </w:r>
          </w:p>
        </w:tc>
        <w:tc>
          <w:tcPr>
            <w:tcW w:w="100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and Fees on Loans Receivable</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18,694</w:t>
            </w:r>
          </w:p>
        </w:tc>
        <w:tc>
          <w:tcPr>
            <w:tcW w:w="5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19,236</w:t>
            </w:r>
          </w:p>
        </w:tc>
        <w:tc>
          <w:tcPr>
            <w:tcW w:w="4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492"/>
              <w:spacing w:after="0"/>
              <w:rPr>
                <w:sz w:val="20"/>
                <w:szCs w:val="20"/>
                <w:color w:val="auto"/>
              </w:rPr>
            </w:pPr>
            <w:r>
              <w:rPr>
                <w:rFonts w:ascii="Arial" w:cs="Arial" w:eastAsia="Arial" w:hAnsi="Arial"/>
                <w:sz w:val="18"/>
                <w:szCs w:val="18"/>
                <w:color w:val="auto"/>
              </w:rPr>
              <w:t>(542)</w:t>
            </w:r>
          </w:p>
        </w:tc>
        <w:tc>
          <w:tcPr>
            <w:tcW w:w="10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5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582,877</w:t>
            </w:r>
          </w:p>
        </w:tc>
        <w:tc>
          <w:tcPr>
            <w:tcW w:w="540" w:type="dxa"/>
            <w:vAlign w:val="bottom"/>
          </w:tcPr>
          <w:p>
            <w:pPr>
              <w:spacing w:after="0"/>
              <w:rPr>
                <w:sz w:val="19"/>
                <w:szCs w:val="19"/>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625,821</w:t>
            </w:r>
          </w:p>
        </w:tc>
        <w:tc>
          <w:tcPr>
            <w:tcW w:w="420" w:type="dxa"/>
            <w:vAlign w:val="bottom"/>
          </w:tcPr>
          <w:p>
            <w:pPr>
              <w:spacing w:after="0"/>
              <w:rPr>
                <w:sz w:val="19"/>
                <w:szCs w:val="19"/>
                <w:color w:val="auto"/>
              </w:rPr>
            </w:pPr>
          </w:p>
        </w:tc>
        <w:tc>
          <w:tcPr>
            <w:tcW w:w="1500" w:type="dxa"/>
            <w:vAlign w:val="bottom"/>
          </w:tcPr>
          <w:p>
            <w:pPr>
              <w:jc w:val="right"/>
              <w:ind w:right="492"/>
              <w:spacing w:after="0"/>
              <w:rPr>
                <w:sz w:val="20"/>
                <w:szCs w:val="20"/>
                <w:color w:val="auto"/>
              </w:rPr>
            </w:pPr>
            <w:r>
              <w:rPr>
                <w:rFonts w:ascii="Arial" w:cs="Arial" w:eastAsia="Arial" w:hAnsi="Arial"/>
                <w:sz w:val="18"/>
                <w:szCs w:val="18"/>
                <w:color w:val="auto"/>
              </w:rPr>
              <w:t>(42,944)</w:t>
            </w: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40" w:type="dxa"/>
            <w:vAlign w:val="bottom"/>
          </w:tcPr>
          <w:p>
            <w:pPr>
              <w:ind w:left="360"/>
              <w:spacing w:after="0"/>
              <w:rPr>
                <w:sz w:val="20"/>
                <w:szCs w:val="20"/>
                <w:color w:val="auto"/>
              </w:rPr>
            </w:pPr>
            <w:r>
              <w:rPr>
                <w:rFonts w:ascii="Arial" w:cs="Arial" w:eastAsia="Arial" w:hAnsi="Arial"/>
                <w:sz w:val="18"/>
                <w:szCs w:val="18"/>
                <w:color w:val="auto"/>
              </w:rPr>
              <w:t>Depreciation of Lease Merchandise</w:t>
            </w:r>
          </w:p>
        </w:tc>
        <w:tc>
          <w:tcPr>
            <w:tcW w:w="340" w:type="dxa"/>
            <w:vAlign w:val="bottom"/>
          </w:tcPr>
          <w:p>
            <w:pPr>
              <w:spacing w:after="0"/>
              <w:rPr>
                <w:sz w:val="19"/>
                <w:szCs w:val="19"/>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381,844</w:t>
            </w:r>
          </w:p>
        </w:tc>
        <w:tc>
          <w:tcPr>
            <w:tcW w:w="540" w:type="dxa"/>
            <w:vAlign w:val="bottom"/>
          </w:tcPr>
          <w:p>
            <w:pPr>
              <w:spacing w:after="0"/>
              <w:rPr>
                <w:sz w:val="19"/>
                <w:szCs w:val="19"/>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422,589</w:t>
            </w:r>
          </w:p>
        </w:tc>
        <w:tc>
          <w:tcPr>
            <w:tcW w:w="420" w:type="dxa"/>
            <w:vAlign w:val="bottom"/>
          </w:tcPr>
          <w:p>
            <w:pPr>
              <w:spacing w:after="0"/>
              <w:rPr>
                <w:sz w:val="19"/>
                <w:szCs w:val="19"/>
                <w:color w:val="auto"/>
              </w:rPr>
            </w:pPr>
          </w:p>
        </w:tc>
        <w:tc>
          <w:tcPr>
            <w:tcW w:w="1500" w:type="dxa"/>
            <w:vAlign w:val="bottom"/>
          </w:tcPr>
          <w:p>
            <w:pPr>
              <w:jc w:val="right"/>
              <w:ind w:right="492"/>
              <w:spacing w:after="0"/>
              <w:rPr>
                <w:sz w:val="20"/>
                <w:szCs w:val="20"/>
                <w:color w:val="auto"/>
              </w:rPr>
            </w:pPr>
            <w:r>
              <w:rPr>
                <w:rFonts w:ascii="Arial" w:cs="Arial" w:eastAsia="Arial" w:hAnsi="Arial"/>
                <w:sz w:val="18"/>
                <w:szCs w:val="18"/>
                <w:color w:val="auto"/>
              </w:rPr>
              <w:t>(40,745)</w:t>
            </w: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Lease Merchandise Write-Offs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36,966</w:t>
            </w: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43,537</w:t>
            </w:r>
          </w:p>
        </w:tc>
        <w:tc>
          <w:tcPr>
            <w:tcW w:w="4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492"/>
              <w:spacing w:after="0"/>
              <w:rPr>
                <w:sz w:val="20"/>
                <w:szCs w:val="20"/>
                <w:color w:val="auto"/>
              </w:rPr>
            </w:pPr>
            <w:r>
              <w:rPr>
                <w:rFonts w:ascii="Arial" w:cs="Arial" w:eastAsia="Arial" w:hAnsi="Arial"/>
                <w:sz w:val="18"/>
                <w:szCs w:val="18"/>
                <w:color w:val="auto"/>
              </w:rPr>
              <w:t>(6,571)</w:t>
            </w:r>
          </w:p>
        </w:tc>
        <w:tc>
          <w:tcPr>
            <w:tcW w:w="10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29"/>
        </w:trPr>
        <w:tc>
          <w:tcPr>
            <w:tcW w:w="5340" w:type="dxa"/>
            <w:vAlign w:val="bottom"/>
          </w:tcPr>
          <w:p>
            <w:pPr>
              <w:ind w:left="36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9"/>
                <w:szCs w:val="19"/>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109,183</w:t>
            </w:r>
          </w:p>
        </w:tc>
        <w:tc>
          <w:tcPr>
            <w:tcW w:w="540" w:type="dxa"/>
            <w:vAlign w:val="bottom"/>
          </w:tcPr>
          <w:p>
            <w:pPr>
              <w:spacing w:after="0"/>
              <w:rPr>
                <w:sz w:val="19"/>
                <w:szCs w:val="19"/>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112,733</w:t>
            </w:r>
          </w:p>
        </w:tc>
        <w:tc>
          <w:tcPr>
            <w:tcW w:w="420" w:type="dxa"/>
            <w:vAlign w:val="bottom"/>
          </w:tcPr>
          <w:p>
            <w:pPr>
              <w:spacing w:after="0"/>
              <w:rPr>
                <w:sz w:val="19"/>
                <w:szCs w:val="19"/>
                <w:color w:val="auto"/>
              </w:rPr>
            </w:pPr>
          </w:p>
        </w:tc>
        <w:tc>
          <w:tcPr>
            <w:tcW w:w="1500" w:type="dxa"/>
            <w:vAlign w:val="bottom"/>
          </w:tcPr>
          <w:p>
            <w:pPr>
              <w:jc w:val="right"/>
              <w:ind w:right="492"/>
              <w:spacing w:after="0"/>
              <w:rPr>
                <w:sz w:val="20"/>
                <w:szCs w:val="20"/>
                <w:color w:val="auto"/>
              </w:rPr>
            </w:pPr>
            <w:r>
              <w:rPr>
                <w:rFonts w:ascii="Arial" w:cs="Arial" w:eastAsia="Arial" w:hAnsi="Arial"/>
                <w:sz w:val="18"/>
                <w:szCs w:val="18"/>
                <w:color w:val="auto"/>
              </w:rPr>
              <w:t>(3,550)</w:t>
            </w: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Impairment of Goodwill</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10,151</w:t>
            </w:r>
          </w:p>
        </w:tc>
        <w:tc>
          <w:tcPr>
            <w:tcW w:w="4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492"/>
              <w:spacing w:after="0"/>
              <w:rPr>
                <w:sz w:val="20"/>
                <w:szCs w:val="20"/>
                <w:color w:val="auto"/>
              </w:rPr>
            </w:pPr>
            <w:r>
              <w:rPr>
                <w:rFonts w:ascii="Arial" w:cs="Arial" w:eastAsia="Arial" w:hAnsi="Arial"/>
                <w:sz w:val="18"/>
                <w:szCs w:val="18"/>
                <w:color w:val="auto"/>
              </w:rPr>
              <w:t>(10,151)</w:t>
            </w:r>
          </w:p>
        </w:tc>
        <w:tc>
          <w:tcPr>
            <w:tcW w:w="10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nmf</w:t>
            </w:r>
          </w:p>
        </w:tc>
        <w:tc>
          <w:tcPr>
            <w:tcW w:w="0" w:type="dxa"/>
            <w:vAlign w:val="bottom"/>
          </w:tcPr>
          <w:p>
            <w:pPr>
              <w:spacing w:after="0"/>
              <w:rPr>
                <w:sz w:val="1"/>
                <w:szCs w:val="1"/>
                <w:color w:val="auto"/>
              </w:rPr>
            </w:pPr>
          </w:p>
        </w:tc>
      </w:tr>
      <w:tr>
        <w:trPr>
          <w:trHeight w:val="223"/>
        </w:trPr>
        <w:tc>
          <w:tcPr>
            <w:tcW w:w="5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527,993</w:t>
            </w:r>
          </w:p>
        </w:tc>
        <w:tc>
          <w:tcPr>
            <w:tcW w:w="540" w:type="dxa"/>
            <w:vAlign w:val="bottom"/>
          </w:tcPr>
          <w:p>
            <w:pPr>
              <w:spacing w:after="0"/>
              <w:rPr>
                <w:sz w:val="19"/>
                <w:szCs w:val="19"/>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589,010</w:t>
            </w:r>
          </w:p>
        </w:tc>
        <w:tc>
          <w:tcPr>
            <w:tcW w:w="420" w:type="dxa"/>
            <w:vAlign w:val="bottom"/>
          </w:tcPr>
          <w:p>
            <w:pPr>
              <w:spacing w:after="0"/>
              <w:rPr>
                <w:sz w:val="19"/>
                <w:szCs w:val="19"/>
                <w:color w:val="auto"/>
              </w:rPr>
            </w:pPr>
          </w:p>
        </w:tc>
        <w:tc>
          <w:tcPr>
            <w:tcW w:w="1500" w:type="dxa"/>
            <w:vAlign w:val="bottom"/>
          </w:tcPr>
          <w:p>
            <w:pPr>
              <w:jc w:val="right"/>
              <w:ind w:right="492"/>
              <w:spacing w:after="0"/>
              <w:rPr>
                <w:sz w:val="20"/>
                <w:szCs w:val="20"/>
                <w:color w:val="auto"/>
              </w:rPr>
            </w:pPr>
            <w:r>
              <w:rPr>
                <w:rFonts w:ascii="Arial" w:cs="Arial" w:eastAsia="Arial" w:hAnsi="Arial"/>
                <w:sz w:val="18"/>
                <w:szCs w:val="18"/>
                <w:color w:val="auto"/>
              </w:rPr>
              <w:t>(61,017)</w:t>
            </w: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PROFIT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54,884</w:t>
            </w: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36,811</w:t>
            </w:r>
          </w:p>
        </w:tc>
        <w:tc>
          <w:tcPr>
            <w:tcW w:w="4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18,073</w:t>
            </w:r>
          </w:p>
        </w:tc>
        <w:tc>
          <w:tcPr>
            <w:tcW w:w="10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30"/>
        </w:trPr>
        <w:tc>
          <w:tcPr>
            <w:tcW w:w="53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Interest Expense, Net</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(6,775)</w:t>
            </w: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(9,463)</w:t>
            </w:r>
          </w:p>
        </w:tc>
        <w:tc>
          <w:tcPr>
            <w:tcW w:w="4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color w:val="auto"/>
              </w:rPr>
              <w:t>2,688</w:t>
            </w:r>
          </w:p>
        </w:tc>
        <w:tc>
          <w:tcPr>
            <w:tcW w:w="10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23"/>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EARNINGS BEFORE INCOME TAX EXPENSE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48,109</w:t>
            </w: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27,348</w:t>
            </w:r>
          </w:p>
        </w:tc>
        <w:tc>
          <w:tcPr>
            <w:tcW w:w="4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20,761</w:t>
            </w:r>
          </w:p>
        </w:tc>
        <w:tc>
          <w:tcPr>
            <w:tcW w:w="10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30"/>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INCOME TAX EXPENSE</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13,097</w:t>
            </w: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11,343</w:t>
            </w:r>
          </w:p>
        </w:tc>
        <w:tc>
          <w:tcPr>
            <w:tcW w:w="4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color w:val="auto"/>
              </w:rPr>
              <w:t>1,754</w:t>
            </w:r>
          </w:p>
        </w:tc>
        <w:tc>
          <w:tcPr>
            <w:tcW w:w="10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48"/>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EARNINGS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35,012</w:t>
            </w:r>
          </w:p>
        </w:tc>
        <w:tc>
          <w:tcPr>
            <w:tcW w:w="54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16,005</w:t>
            </w:r>
          </w:p>
        </w:tc>
        <w:tc>
          <w:tcPr>
            <w:tcW w:w="4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CEEFF"/>
          </w:tcPr>
          <w:p>
            <w:pPr>
              <w:jc w:val="right"/>
              <w:ind w:right="532"/>
              <w:spacing w:after="0"/>
              <w:rPr>
                <w:sz w:val="20"/>
                <w:szCs w:val="20"/>
                <w:color w:val="auto"/>
              </w:rPr>
            </w:pPr>
            <w:r>
              <w:rPr>
                <w:rFonts w:ascii="Arial" w:cs="Arial" w:eastAsia="Arial" w:hAnsi="Arial"/>
                <w:sz w:val="18"/>
                <w:szCs w:val="18"/>
                <w:color w:val="auto"/>
              </w:rPr>
              <w:t>19,007</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118.8 %</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4"/>
          <w:szCs w:val="14"/>
          <w:color w:val="auto"/>
        </w:rPr>
        <w:t>nmf - Calculation is not meaningful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our revenues by source and reportable segment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0" w:type="dxa"/>
            <w:vAlign w:val="bottom"/>
            <w:gridSpan w:val="4"/>
          </w:tcPr>
          <w:p>
            <w:pPr>
              <w:jc w:val="right"/>
              <w:ind w:right="15"/>
              <w:spacing w:after="0"/>
              <w:rPr>
                <w:sz w:val="20"/>
                <w:szCs w:val="20"/>
                <w:color w:val="auto"/>
              </w:rPr>
            </w:pPr>
            <w:r>
              <w:rPr>
                <w:rFonts w:ascii="Arial" w:cs="Arial" w:eastAsia="Arial" w:hAnsi="Arial"/>
                <w:sz w:val="14"/>
                <w:szCs w:val="14"/>
                <w:b w:val="1"/>
                <w:bCs w:val="1"/>
                <w:color w:val="auto"/>
              </w:rPr>
              <w:t>Three Months Ended September 30, 2023</w:t>
            </w: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20" w:type="dxa"/>
            <w:vAlign w:val="bottom"/>
            <w:gridSpan w:val="4"/>
          </w:tcPr>
          <w:p>
            <w:pPr>
              <w:jc w:val="right"/>
              <w:ind w:right="35"/>
              <w:spacing w:after="0"/>
              <w:rPr>
                <w:sz w:val="20"/>
                <w:szCs w:val="20"/>
                <w:color w:val="auto"/>
              </w:rPr>
            </w:pPr>
            <w:r>
              <w:rPr>
                <w:rFonts w:ascii="Arial" w:cs="Arial" w:eastAsia="Arial" w:hAnsi="Arial"/>
                <w:sz w:val="14"/>
                <w:szCs w:val="14"/>
                <w:b w:val="1"/>
                <w:bCs w:val="1"/>
                <w:color w:val="auto"/>
              </w:rPr>
              <w:t>Three Months Ended September 30, 2022</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1"/>
                <w:szCs w:val="11"/>
                <w:color w:val="auto"/>
              </w:rPr>
            </w:pPr>
          </w:p>
        </w:tc>
        <w:tc>
          <w:tcPr>
            <w:tcW w:w="920" w:type="dxa"/>
            <w:vAlign w:val="bottom"/>
          </w:tcPr>
          <w:p>
            <w:pPr>
              <w:jc w:val="right"/>
              <w:ind w:right="99"/>
              <w:spacing w:after="0" w:line="133" w:lineRule="exact"/>
              <w:rPr>
                <w:sz w:val="20"/>
                <w:szCs w:val="20"/>
                <w:color w:val="auto"/>
              </w:rPr>
            </w:pPr>
            <w:r>
              <w:rPr>
                <w:rFonts w:ascii="Arial" w:cs="Arial" w:eastAsia="Arial" w:hAnsi="Arial"/>
                <w:sz w:val="14"/>
                <w:szCs w:val="14"/>
                <w:b w:val="1"/>
                <w:bCs w:val="1"/>
                <w:color w:val="auto"/>
                <w:w w:val="89"/>
              </w:rPr>
              <w:t>Progressive</w:t>
            </w:r>
          </w:p>
        </w:tc>
        <w:tc>
          <w:tcPr>
            <w:tcW w:w="280" w:type="dxa"/>
            <w:vAlign w:val="bottom"/>
          </w:tcPr>
          <w:p>
            <w:pPr>
              <w:spacing w:after="0"/>
              <w:rPr>
                <w:sz w:val="11"/>
                <w:szCs w:val="11"/>
                <w:color w:val="auto"/>
              </w:rPr>
            </w:pPr>
          </w:p>
        </w:tc>
        <w:tc>
          <w:tcPr>
            <w:tcW w:w="1060" w:type="dxa"/>
            <w:vAlign w:val="bottom"/>
            <w:vMerge w:val="restart"/>
          </w:tcPr>
          <w:p>
            <w:pPr>
              <w:jc w:val="right"/>
              <w:ind w:right="555"/>
              <w:spacing w:after="0"/>
              <w:rPr>
                <w:sz w:val="20"/>
                <w:szCs w:val="20"/>
                <w:color w:val="auto"/>
              </w:rPr>
            </w:pPr>
            <w:r>
              <w:rPr>
                <w:rFonts w:ascii="Arial" w:cs="Arial" w:eastAsia="Arial" w:hAnsi="Arial"/>
                <w:sz w:val="14"/>
                <w:szCs w:val="14"/>
                <w:b w:val="1"/>
                <w:bCs w:val="1"/>
                <w:color w:val="auto"/>
              </w:rPr>
              <w:t>Vive</w:t>
            </w:r>
          </w:p>
        </w:tc>
        <w:tc>
          <w:tcPr>
            <w:tcW w:w="1140" w:type="dxa"/>
            <w:vAlign w:val="bottom"/>
            <w:vMerge w:val="restart"/>
          </w:tcPr>
          <w:p>
            <w:pPr>
              <w:jc w:val="right"/>
              <w:ind w:right="555"/>
              <w:spacing w:after="0"/>
              <w:rPr>
                <w:sz w:val="20"/>
                <w:szCs w:val="20"/>
                <w:color w:val="auto"/>
              </w:rPr>
            </w:pPr>
            <w:r>
              <w:rPr>
                <w:rFonts w:ascii="Arial" w:cs="Arial" w:eastAsia="Arial" w:hAnsi="Arial"/>
                <w:sz w:val="14"/>
                <w:szCs w:val="14"/>
                <w:b w:val="1"/>
                <w:bCs w:val="1"/>
                <w:color w:val="auto"/>
              </w:rPr>
              <w:t>Other</w:t>
            </w:r>
          </w:p>
        </w:tc>
        <w:tc>
          <w:tcPr>
            <w:tcW w:w="78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1"/>
                <w:szCs w:val="11"/>
                <w:color w:val="auto"/>
              </w:rPr>
            </w:pPr>
          </w:p>
        </w:tc>
        <w:tc>
          <w:tcPr>
            <w:tcW w:w="920" w:type="dxa"/>
            <w:vAlign w:val="bottom"/>
          </w:tcPr>
          <w:p>
            <w:pPr>
              <w:jc w:val="right"/>
              <w:ind w:right="99"/>
              <w:spacing w:after="0" w:line="133" w:lineRule="exact"/>
              <w:rPr>
                <w:sz w:val="20"/>
                <w:szCs w:val="20"/>
                <w:color w:val="auto"/>
              </w:rPr>
            </w:pPr>
            <w:r>
              <w:rPr>
                <w:rFonts w:ascii="Arial" w:cs="Arial" w:eastAsia="Arial" w:hAnsi="Arial"/>
                <w:sz w:val="14"/>
                <w:szCs w:val="14"/>
                <w:b w:val="1"/>
                <w:bCs w:val="1"/>
                <w:color w:val="auto"/>
                <w:w w:val="89"/>
              </w:rPr>
              <w:t>Progressive</w:t>
            </w:r>
          </w:p>
        </w:tc>
        <w:tc>
          <w:tcPr>
            <w:tcW w:w="280" w:type="dxa"/>
            <w:vAlign w:val="bottom"/>
          </w:tcPr>
          <w:p>
            <w:pPr>
              <w:spacing w:after="0"/>
              <w:rPr>
                <w:sz w:val="11"/>
                <w:szCs w:val="11"/>
                <w:color w:val="auto"/>
              </w:rPr>
            </w:pPr>
          </w:p>
        </w:tc>
        <w:tc>
          <w:tcPr>
            <w:tcW w:w="1060" w:type="dxa"/>
            <w:vAlign w:val="bottom"/>
            <w:vMerge w:val="restart"/>
          </w:tcPr>
          <w:p>
            <w:pPr>
              <w:jc w:val="right"/>
              <w:ind w:right="555"/>
              <w:spacing w:after="0"/>
              <w:rPr>
                <w:sz w:val="20"/>
                <w:szCs w:val="20"/>
                <w:color w:val="auto"/>
              </w:rPr>
            </w:pPr>
            <w:r>
              <w:rPr>
                <w:rFonts w:ascii="Arial" w:cs="Arial" w:eastAsia="Arial" w:hAnsi="Arial"/>
                <w:sz w:val="14"/>
                <w:szCs w:val="14"/>
                <w:b w:val="1"/>
                <w:bCs w:val="1"/>
                <w:color w:val="auto"/>
              </w:rPr>
              <w:t>Vive</w:t>
            </w:r>
          </w:p>
        </w:tc>
        <w:tc>
          <w:tcPr>
            <w:tcW w:w="1160" w:type="dxa"/>
            <w:vAlign w:val="bottom"/>
            <w:vMerge w:val="restart"/>
          </w:tcPr>
          <w:p>
            <w:pPr>
              <w:jc w:val="right"/>
              <w:ind w:right="575"/>
              <w:spacing w:after="0"/>
              <w:rPr>
                <w:sz w:val="20"/>
                <w:szCs w:val="20"/>
                <w:color w:val="auto"/>
              </w:rPr>
            </w:pPr>
            <w:r>
              <w:rPr>
                <w:rFonts w:ascii="Arial" w:cs="Arial" w:eastAsia="Arial" w:hAnsi="Arial"/>
                <w:sz w:val="14"/>
                <w:szCs w:val="14"/>
                <w:b w:val="1"/>
                <w:bCs w:val="1"/>
                <w:color w:val="auto"/>
              </w:rPr>
              <w:t>Other</w:t>
            </w:r>
          </w:p>
        </w:tc>
        <w:tc>
          <w:tcPr>
            <w:tcW w:w="80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50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Leasing</w:t>
            </w: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Leasing</w:t>
            </w: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Revenues and Fees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564,183</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 $</w:t>
            </w:r>
          </w:p>
        </w:tc>
        <w:tc>
          <w:tcPr>
            <w:tcW w:w="114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 $</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564,183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606,585</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 $</w:t>
            </w:r>
          </w:p>
        </w:tc>
        <w:tc>
          <w:tcPr>
            <w:tcW w:w="11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 $</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606,585</w:t>
            </w:r>
          </w:p>
        </w:tc>
        <w:tc>
          <w:tcPr>
            <w:tcW w:w="0" w:type="dxa"/>
            <w:vAlign w:val="bottom"/>
          </w:tcPr>
          <w:p>
            <w:pPr>
              <w:spacing w:after="0"/>
              <w:rPr>
                <w:sz w:val="1"/>
                <w:szCs w:val="1"/>
                <w:color w:val="auto"/>
              </w:rPr>
            </w:pPr>
          </w:p>
        </w:tc>
      </w:tr>
      <w:tr>
        <w:trPr>
          <w:trHeight w:val="175"/>
        </w:trPr>
        <w:tc>
          <w:tcPr>
            <w:tcW w:w="2500" w:type="dxa"/>
            <w:vAlign w:val="bottom"/>
          </w:tcPr>
          <w:p>
            <w:pPr>
              <w:ind w:left="20"/>
              <w:spacing w:after="0" w:line="176" w:lineRule="exact"/>
              <w:rPr>
                <w:sz w:val="20"/>
                <w:szCs w:val="20"/>
                <w:color w:val="auto"/>
              </w:rPr>
            </w:pPr>
            <w:r>
              <w:rPr>
                <w:rFonts w:ascii="Arial" w:cs="Arial" w:eastAsia="Arial" w:hAnsi="Arial"/>
                <w:sz w:val="18"/>
                <w:szCs w:val="18"/>
                <w:color w:val="auto"/>
              </w:rPr>
              <w:t>Interest and Fees on Loans</w:t>
            </w: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Receivable</w:t>
            </w: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15"/>
              <w:spacing w:after="0"/>
              <w:rPr>
                <w:sz w:val="20"/>
                <w:szCs w:val="20"/>
                <w:color w:val="auto"/>
              </w:rPr>
            </w:pPr>
            <w:r>
              <w:rPr>
                <w:rFonts w:ascii="Arial" w:cs="Arial" w:eastAsia="Arial" w:hAnsi="Arial"/>
                <w:sz w:val="18"/>
                <w:szCs w:val="18"/>
                <w:color w:val="auto"/>
              </w:rPr>
              <w:t>17,547</w:t>
            </w:r>
          </w:p>
        </w:tc>
        <w:tc>
          <w:tcPr>
            <w:tcW w:w="1140" w:type="dxa"/>
            <w:vAlign w:val="bottom"/>
            <w:tcBorders>
              <w:bottom w:val="single" w:sz="8" w:color="auto"/>
            </w:tcBorders>
          </w:tcPr>
          <w:p>
            <w:pPr>
              <w:jc w:val="right"/>
              <w:ind w:right="275"/>
              <w:spacing w:after="0"/>
              <w:rPr>
                <w:sz w:val="20"/>
                <w:szCs w:val="20"/>
                <w:color w:val="auto"/>
              </w:rPr>
            </w:pPr>
            <w:r>
              <w:rPr>
                <w:rFonts w:ascii="Arial" w:cs="Arial" w:eastAsia="Arial" w:hAnsi="Arial"/>
                <w:sz w:val="18"/>
                <w:szCs w:val="18"/>
                <w:color w:val="auto"/>
              </w:rPr>
              <w:t>1,147</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18,694</w:t>
            </w: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15"/>
              <w:spacing w:after="0"/>
              <w:rPr>
                <w:sz w:val="20"/>
                <w:szCs w:val="20"/>
                <w:color w:val="auto"/>
              </w:rPr>
            </w:pPr>
            <w:r>
              <w:rPr>
                <w:rFonts w:ascii="Arial" w:cs="Arial" w:eastAsia="Arial" w:hAnsi="Arial"/>
                <w:sz w:val="18"/>
                <w:szCs w:val="18"/>
                <w:color w:val="auto"/>
              </w:rPr>
              <w:t>18,392</w:t>
            </w:r>
          </w:p>
        </w:tc>
        <w:tc>
          <w:tcPr>
            <w:tcW w:w="1160" w:type="dxa"/>
            <w:vAlign w:val="bottom"/>
            <w:tcBorders>
              <w:bottom w:val="single" w:sz="8" w:color="auto"/>
            </w:tcBorders>
          </w:tcPr>
          <w:p>
            <w:pPr>
              <w:jc w:val="right"/>
              <w:ind w:right="275"/>
              <w:spacing w:after="0"/>
              <w:rPr>
                <w:sz w:val="20"/>
                <w:szCs w:val="20"/>
                <w:color w:val="auto"/>
              </w:rPr>
            </w:pPr>
            <w:r>
              <w:rPr>
                <w:rFonts w:ascii="Arial" w:cs="Arial" w:eastAsia="Arial" w:hAnsi="Arial"/>
                <w:sz w:val="18"/>
                <w:szCs w:val="18"/>
                <w:color w:val="auto"/>
              </w:rPr>
              <w:t>844</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19,236</w:t>
            </w:r>
          </w:p>
        </w:tc>
        <w:tc>
          <w:tcPr>
            <w:tcW w:w="0" w:type="dxa"/>
            <w:vAlign w:val="bottom"/>
          </w:tcPr>
          <w:p>
            <w:pPr>
              <w:spacing w:after="0"/>
              <w:rPr>
                <w:sz w:val="1"/>
                <w:szCs w:val="1"/>
                <w:color w:val="auto"/>
              </w:rPr>
            </w:pPr>
          </w:p>
        </w:tc>
      </w:tr>
      <w:tr>
        <w:trPr>
          <w:trHeight w:val="248"/>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564,183</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17,547 $</w:t>
            </w:r>
          </w:p>
        </w:tc>
        <w:tc>
          <w:tcPr>
            <w:tcW w:w="114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1,147 $</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582,877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606,585</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18,392 $</w:t>
            </w:r>
          </w:p>
        </w:tc>
        <w:tc>
          <w:tcPr>
            <w:tcW w:w="116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844 $</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625,821</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The decrease in Progressive Leasing revenues was primarily the result of a smaller lease portfolio at the beginning of the quarter as compared to the third quarter of 2022 due to a decrease in customer demand for many of the products offered by our POS partners and a decline in the number of customers electing to exercise early lease buyouts when compared to the same period in the prior year. The decline in revenues was partially offset by improved customer payment activity in the third quarter of 2023, as compared to the third quarter of 2022. Vive revenues remained relatively flat as compared to the third quarter of 2022. The increase to Other revenue was primarily driven by a 24.4% increase in Four's GMV as compared to the third quarter of 2022.</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Information about certain significant components of operating expenses for the third quarter of 2023 as compared to the third quarter of 2022 is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20" w:type="dxa"/>
            <w:vAlign w:val="bottom"/>
            <w:gridSpan w:val="3"/>
          </w:tcPr>
          <w:p>
            <w:pPr>
              <w:jc w:val="right"/>
              <w:ind w:right="771"/>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150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Change</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3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vMerge w:val="continue"/>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1092"/>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Personnel Costs</w:t>
            </w:r>
            <w:r>
              <w:rPr>
                <w:rFonts w:ascii="Arial" w:cs="Arial" w:eastAsia="Arial" w:hAnsi="Arial"/>
                <w:sz w:val="23"/>
                <w:szCs w:val="23"/>
                <w:color w:val="auto"/>
                <w:vertAlign w:val="superscript"/>
              </w:rPr>
              <w:t>1</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46,729</w:t>
            </w:r>
          </w:p>
        </w:tc>
        <w:tc>
          <w:tcPr>
            <w:tcW w:w="5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46,550</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179</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0" w:type="dxa"/>
            <w:vAlign w:val="bottom"/>
          </w:tcPr>
          <w:p>
            <w:pPr>
              <w:spacing w:after="0"/>
              <w:rPr>
                <w:sz w:val="1"/>
                <w:szCs w:val="1"/>
                <w:color w:val="auto"/>
              </w:rPr>
            </w:pPr>
          </w:p>
        </w:tc>
      </w:tr>
      <w:tr>
        <w:trPr>
          <w:trHeight w:val="229"/>
        </w:trPr>
        <w:tc>
          <w:tcPr>
            <w:tcW w:w="534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19"/>
                <w:szCs w:val="19"/>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6,821</w:t>
            </w:r>
          </w:p>
        </w:tc>
        <w:tc>
          <w:tcPr>
            <w:tcW w:w="56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4,890</w:t>
            </w:r>
          </w:p>
        </w:tc>
        <w:tc>
          <w:tcPr>
            <w:tcW w:w="440" w:type="dxa"/>
            <w:vAlign w:val="bottom"/>
          </w:tcPr>
          <w:p>
            <w:pPr>
              <w:spacing w:after="0"/>
              <w:rPr>
                <w:sz w:val="19"/>
                <w:szCs w:val="19"/>
                <w:color w:val="auto"/>
              </w:rPr>
            </w:pPr>
          </w:p>
        </w:tc>
        <w:tc>
          <w:tcPr>
            <w:tcW w:w="1500" w:type="dxa"/>
            <w:vAlign w:val="bottom"/>
          </w:tcPr>
          <w:p>
            <w:pPr>
              <w:jc w:val="right"/>
              <w:ind w:right="532"/>
              <w:spacing w:after="0"/>
              <w:rPr>
                <w:sz w:val="20"/>
                <w:szCs w:val="20"/>
                <w:color w:val="auto"/>
              </w:rPr>
            </w:pPr>
            <w:r>
              <w:rPr>
                <w:rFonts w:ascii="Arial" w:cs="Arial" w:eastAsia="Arial" w:hAnsi="Arial"/>
                <w:sz w:val="18"/>
                <w:szCs w:val="18"/>
                <w:color w:val="auto"/>
              </w:rPr>
              <w:t>1,931</w:t>
            </w: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Occupancy Costs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1,379</w:t>
            </w: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1,657</w:t>
            </w:r>
          </w:p>
        </w:tc>
        <w:tc>
          <w:tcPr>
            <w:tcW w:w="4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492"/>
              <w:spacing w:after="0"/>
              <w:rPr>
                <w:sz w:val="20"/>
                <w:szCs w:val="20"/>
                <w:color w:val="auto"/>
              </w:rPr>
            </w:pPr>
            <w:r>
              <w:rPr>
                <w:rFonts w:ascii="Arial" w:cs="Arial" w:eastAsia="Arial" w:hAnsi="Arial"/>
                <w:sz w:val="18"/>
                <w:szCs w:val="18"/>
                <w:color w:val="auto"/>
              </w:rPr>
              <w:t>(278)</w:t>
            </w:r>
          </w:p>
        </w:tc>
        <w:tc>
          <w:tcPr>
            <w:tcW w:w="10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29"/>
        </w:trPr>
        <w:tc>
          <w:tcPr>
            <w:tcW w:w="5340" w:type="dxa"/>
            <w:vAlign w:val="bottom"/>
          </w:tcPr>
          <w:p>
            <w:pPr>
              <w:ind w:left="20"/>
              <w:spacing w:after="0"/>
              <w:rPr>
                <w:sz w:val="20"/>
                <w:szCs w:val="20"/>
                <w:color w:val="auto"/>
              </w:rPr>
            </w:pPr>
            <w:r>
              <w:rPr>
                <w:rFonts w:ascii="Arial" w:cs="Arial" w:eastAsia="Arial" w:hAnsi="Arial"/>
                <w:sz w:val="18"/>
                <w:szCs w:val="18"/>
                <w:color w:val="auto"/>
              </w:rPr>
              <w:t>Advertising</w:t>
            </w:r>
          </w:p>
        </w:tc>
        <w:tc>
          <w:tcPr>
            <w:tcW w:w="340" w:type="dxa"/>
            <w:vAlign w:val="bottom"/>
          </w:tcPr>
          <w:p>
            <w:pPr>
              <w:spacing w:after="0"/>
              <w:rPr>
                <w:sz w:val="19"/>
                <w:szCs w:val="19"/>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3,422</w:t>
            </w:r>
          </w:p>
        </w:tc>
        <w:tc>
          <w:tcPr>
            <w:tcW w:w="56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2,497</w:t>
            </w:r>
          </w:p>
        </w:tc>
        <w:tc>
          <w:tcPr>
            <w:tcW w:w="440" w:type="dxa"/>
            <w:vAlign w:val="bottom"/>
          </w:tcPr>
          <w:p>
            <w:pPr>
              <w:spacing w:after="0"/>
              <w:rPr>
                <w:sz w:val="19"/>
                <w:szCs w:val="19"/>
                <w:color w:val="auto"/>
              </w:rPr>
            </w:pPr>
          </w:p>
        </w:tc>
        <w:tc>
          <w:tcPr>
            <w:tcW w:w="1500" w:type="dxa"/>
            <w:vAlign w:val="bottom"/>
          </w:tcPr>
          <w:p>
            <w:pPr>
              <w:jc w:val="right"/>
              <w:ind w:right="532"/>
              <w:spacing w:after="0"/>
              <w:rPr>
                <w:sz w:val="20"/>
                <w:szCs w:val="20"/>
                <w:color w:val="auto"/>
              </w:rPr>
            </w:pPr>
            <w:r>
              <w:rPr>
                <w:rFonts w:ascii="Arial" w:cs="Arial" w:eastAsia="Arial" w:hAnsi="Arial"/>
                <w:sz w:val="18"/>
                <w:szCs w:val="18"/>
                <w:color w:val="auto"/>
              </w:rPr>
              <w:t>925</w:t>
            </w: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Services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7,484</w:t>
            </w: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4,428</w:t>
            </w:r>
          </w:p>
        </w:tc>
        <w:tc>
          <w:tcPr>
            <w:tcW w:w="4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3,056</w:t>
            </w:r>
          </w:p>
        </w:tc>
        <w:tc>
          <w:tcPr>
            <w:tcW w:w="10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30"/>
        </w:trPr>
        <w:tc>
          <w:tcPr>
            <w:tcW w:w="5340" w:type="dxa"/>
            <w:vAlign w:val="bottom"/>
          </w:tcPr>
          <w:p>
            <w:pPr>
              <w:ind w:left="20"/>
              <w:spacing w:after="0" w:line="230" w:lineRule="exact"/>
              <w:rPr>
                <w:sz w:val="20"/>
                <w:szCs w:val="20"/>
                <w:color w:val="auto"/>
              </w:rPr>
            </w:pPr>
            <w:r>
              <w:rPr>
                <w:rFonts w:ascii="Arial" w:cs="Arial" w:eastAsia="Arial" w:hAnsi="Arial"/>
                <w:sz w:val="18"/>
                <w:szCs w:val="18"/>
                <w:color w:val="auto"/>
              </w:rPr>
              <w:t>Sales Acquisition Expense</w:t>
            </w:r>
            <w:r>
              <w:rPr>
                <w:rFonts w:ascii="Arial" w:cs="Arial" w:eastAsia="Arial" w:hAnsi="Arial"/>
                <w:sz w:val="23"/>
                <w:szCs w:val="23"/>
                <w:color w:val="auto"/>
                <w:vertAlign w:val="superscript"/>
              </w:rPr>
              <w:t>2</w:t>
            </w:r>
          </w:p>
        </w:tc>
        <w:tc>
          <w:tcPr>
            <w:tcW w:w="340" w:type="dxa"/>
            <w:vAlign w:val="bottom"/>
          </w:tcPr>
          <w:p>
            <w:pPr>
              <w:spacing w:after="0"/>
              <w:rPr>
                <w:sz w:val="19"/>
                <w:szCs w:val="19"/>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6,633</w:t>
            </w:r>
          </w:p>
        </w:tc>
        <w:tc>
          <w:tcPr>
            <w:tcW w:w="56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7,720</w:t>
            </w:r>
          </w:p>
        </w:tc>
        <w:tc>
          <w:tcPr>
            <w:tcW w:w="440" w:type="dxa"/>
            <w:vAlign w:val="bottom"/>
          </w:tcPr>
          <w:p>
            <w:pPr>
              <w:spacing w:after="0"/>
              <w:rPr>
                <w:sz w:val="19"/>
                <w:szCs w:val="19"/>
                <w:color w:val="auto"/>
              </w:rPr>
            </w:pPr>
          </w:p>
        </w:tc>
        <w:tc>
          <w:tcPr>
            <w:tcW w:w="1500" w:type="dxa"/>
            <w:vAlign w:val="bottom"/>
          </w:tcPr>
          <w:p>
            <w:pPr>
              <w:jc w:val="right"/>
              <w:ind w:right="492"/>
              <w:spacing w:after="0"/>
              <w:rPr>
                <w:sz w:val="20"/>
                <w:szCs w:val="20"/>
                <w:color w:val="auto"/>
              </w:rPr>
            </w:pPr>
            <w:r>
              <w:rPr>
                <w:rFonts w:ascii="Arial" w:cs="Arial" w:eastAsia="Arial" w:hAnsi="Arial"/>
                <w:sz w:val="18"/>
                <w:szCs w:val="18"/>
                <w:color w:val="auto"/>
              </w:rPr>
              <w:t>(1,087)</w:t>
            </w: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Computer Software Expense</w:t>
            </w:r>
            <w:r>
              <w:rPr>
                <w:rFonts w:ascii="Arial" w:cs="Arial" w:eastAsia="Arial" w:hAnsi="Arial"/>
                <w:sz w:val="23"/>
                <w:szCs w:val="23"/>
                <w:color w:val="auto"/>
                <w:vertAlign w:val="superscript"/>
              </w:rPr>
              <w:t>3</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6,517</w:t>
            </w: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6,829</w:t>
            </w:r>
          </w:p>
        </w:tc>
        <w:tc>
          <w:tcPr>
            <w:tcW w:w="4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492"/>
              <w:spacing w:after="0"/>
              <w:rPr>
                <w:sz w:val="20"/>
                <w:szCs w:val="20"/>
                <w:color w:val="auto"/>
              </w:rPr>
            </w:pPr>
            <w:r>
              <w:rPr>
                <w:rFonts w:ascii="Arial" w:cs="Arial" w:eastAsia="Arial" w:hAnsi="Arial"/>
                <w:sz w:val="18"/>
                <w:szCs w:val="18"/>
                <w:color w:val="auto"/>
              </w:rPr>
              <w:t>(312)</w:t>
            </w:r>
          </w:p>
        </w:tc>
        <w:tc>
          <w:tcPr>
            <w:tcW w:w="10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5340" w:type="dxa"/>
            <w:vAlign w:val="bottom"/>
          </w:tcPr>
          <w:p>
            <w:pPr>
              <w:ind w:left="20"/>
              <w:spacing w:after="0"/>
              <w:rPr>
                <w:sz w:val="20"/>
                <w:szCs w:val="20"/>
                <w:color w:val="auto"/>
              </w:rPr>
            </w:pPr>
            <w:r>
              <w:rPr>
                <w:rFonts w:ascii="Arial" w:cs="Arial" w:eastAsia="Arial" w:hAnsi="Arial"/>
                <w:sz w:val="18"/>
                <w:szCs w:val="18"/>
                <w:color w:val="auto"/>
              </w:rPr>
              <w:t>Bank Service Charges</w:t>
            </w:r>
          </w:p>
        </w:tc>
        <w:tc>
          <w:tcPr>
            <w:tcW w:w="340" w:type="dxa"/>
            <w:vAlign w:val="bottom"/>
          </w:tcPr>
          <w:p>
            <w:pPr>
              <w:spacing w:after="0"/>
              <w:rPr>
                <w:sz w:val="19"/>
                <w:szCs w:val="19"/>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2,771</w:t>
            </w:r>
          </w:p>
        </w:tc>
        <w:tc>
          <w:tcPr>
            <w:tcW w:w="56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2,927</w:t>
            </w:r>
          </w:p>
        </w:tc>
        <w:tc>
          <w:tcPr>
            <w:tcW w:w="440" w:type="dxa"/>
            <w:vAlign w:val="bottom"/>
          </w:tcPr>
          <w:p>
            <w:pPr>
              <w:spacing w:after="0"/>
              <w:rPr>
                <w:sz w:val="19"/>
                <w:szCs w:val="19"/>
                <w:color w:val="auto"/>
              </w:rPr>
            </w:pPr>
          </w:p>
        </w:tc>
        <w:tc>
          <w:tcPr>
            <w:tcW w:w="1500" w:type="dxa"/>
            <w:vAlign w:val="bottom"/>
          </w:tcPr>
          <w:p>
            <w:pPr>
              <w:jc w:val="right"/>
              <w:ind w:right="492"/>
              <w:spacing w:after="0"/>
              <w:rPr>
                <w:sz w:val="20"/>
                <w:szCs w:val="20"/>
                <w:color w:val="auto"/>
              </w:rPr>
            </w:pPr>
            <w:r>
              <w:rPr>
                <w:rFonts w:ascii="Arial" w:cs="Arial" w:eastAsia="Arial" w:hAnsi="Arial"/>
                <w:sz w:val="18"/>
                <w:szCs w:val="18"/>
                <w:color w:val="auto"/>
              </w:rPr>
              <w:t>(156)</w:t>
            </w: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Sales, General and Administrative Expense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8,687</w:t>
            </w:r>
          </w:p>
        </w:tc>
        <w:tc>
          <w:tcPr>
            <w:tcW w:w="5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10,106</w:t>
            </w:r>
          </w:p>
        </w:tc>
        <w:tc>
          <w:tcPr>
            <w:tcW w:w="4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492"/>
              <w:spacing w:after="0"/>
              <w:rPr>
                <w:sz w:val="20"/>
                <w:szCs w:val="20"/>
                <w:color w:val="auto"/>
              </w:rPr>
            </w:pPr>
            <w:r>
              <w:rPr>
                <w:rFonts w:ascii="Arial" w:cs="Arial" w:eastAsia="Arial" w:hAnsi="Arial"/>
                <w:sz w:val="18"/>
                <w:szCs w:val="18"/>
                <w:color w:val="auto"/>
              </w:rPr>
              <w:t>(1,419)</w:t>
            </w:r>
          </w:p>
        </w:tc>
        <w:tc>
          <w:tcPr>
            <w:tcW w:w="10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23"/>
        </w:trPr>
        <w:tc>
          <w:tcPr>
            <w:tcW w:w="5340" w:type="dxa"/>
            <w:vAlign w:val="bottom"/>
            <w:tcBorders>
              <w:bottom w:val="single" w:sz="8" w:color="CCEEFF"/>
            </w:tcBorders>
          </w:tcPr>
          <w:p>
            <w:pPr>
              <w:ind w:left="180"/>
              <w:spacing w:after="0" w:line="223" w:lineRule="exact"/>
              <w:rPr>
                <w:sz w:val="20"/>
                <w:szCs w:val="20"/>
                <w:color w:val="auto"/>
              </w:rPr>
            </w:pPr>
            <w:r>
              <w:rPr>
                <w:rFonts w:ascii="Arial" w:cs="Arial" w:eastAsia="Arial" w:hAnsi="Arial"/>
                <w:sz w:val="18"/>
                <w:szCs w:val="18"/>
                <w:b w:val="1"/>
                <w:bCs w:val="1"/>
                <w:color w:val="auto"/>
              </w:rPr>
              <w:t>Sales, General and Administrative Expense</w:t>
            </w:r>
            <w:r>
              <w:rPr>
                <w:rFonts w:ascii="Arial" w:cs="Arial" w:eastAsia="Arial" w:hAnsi="Arial"/>
                <w:sz w:val="23"/>
                <w:szCs w:val="23"/>
                <w:color w:val="auto"/>
                <w:vertAlign w:val="superscript"/>
              </w:rPr>
              <w:t>4</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90,443</w:t>
            </w: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87,604</w:t>
            </w:r>
          </w:p>
        </w:tc>
        <w:tc>
          <w:tcPr>
            <w:tcW w:w="4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color w:val="auto"/>
              </w:rPr>
              <w:t>2,839</w:t>
            </w:r>
          </w:p>
        </w:tc>
        <w:tc>
          <w:tcPr>
            <w:tcW w:w="10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3"/>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Loan Losses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10,521</w:t>
            </w: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12,031</w:t>
            </w:r>
          </w:p>
        </w:tc>
        <w:tc>
          <w:tcPr>
            <w:tcW w:w="4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492"/>
              <w:spacing w:after="0"/>
              <w:rPr>
                <w:sz w:val="20"/>
                <w:szCs w:val="20"/>
                <w:color w:val="auto"/>
              </w:rPr>
            </w:pPr>
            <w:r>
              <w:rPr>
                <w:rFonts w:ascii="Arial" w:cs="Arial" w:eastAsia="Arial" w:hAnsi="Arial"/>
                <w:sz w:val="18"/>
                <w:szCs w:val="18"/>
                <w:color w:val="auto"/>
              </w:rPr>
              <w:t>(1,510)</w:t>
            </w:r>
          </w:p>
        </w:tc>
        <w:tc>
          <w:tcPr>
            <w:tcW w:w="10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29"/>
        </w:trPr>
        <w:tc>
          <w:tcPr>
            <w:tcW w:w="534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9"/>
                <w:szCs w:val="19"/>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7,981</w:t>
            </w:r>
          </w:p>
        </w:tc>
        <w:tc>
          <w:tcPr>
            <w:tcW w:w="56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8,425</w:t>
            </w:r>
          </w:p>
        </w:tc>
        <w:tc>
          <w:tcPr>
            <w:tcW w:w="440" w:type="dxa"/>
            <w:vAlign w:val="bottom"/>
          </w:tcPr>
          <w:p>
            <w:pPr>
              <w:spacing w:after="0"/>
              <w:rPr>
                <w:sz w:val="19"/>
                <w:szCs w:val="19"/>
                <w:color w:val="auto"/>
              </w:rPr>
            </w:pPr>
          </w:p>
        </w:tc>
        <w:tc>
          <w:tcPr>
            <w:tcW w:w="1500" w:type="dxa"/>
            <w:vAlign w:val="bottom"/>
          </w:tcPr>
          <w:p>
            <w:pPr>
              <w:jc w:val="right"/>
              <w:ind w:right="492"/>
              <w:spacing w:after="0"/>
              <w:rPr>
                <w:sz w:val="20"/>
                <w:szCs w:val="20"/>
                <w:color w:val="auto"/>
              </w:rPr>
            </w:pPr>
            <w:r>
              <w:rPr>
                <w:rFonts w:ascii="Arial" w:cs="Arial" w:eastAsia="Arial" w:hAnsi="Arial"/>
                <w:sz w:val="18"/>
                <w:szCs w:val="18"/>
                <w:color w:val="auto"/>
              </w:rPr>
              <w:t>(444)</w:t>
            </w: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Expense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238</w:t>
            </w:r>
          </w:p>
        </w:tc>
        <w:tc>
          <w:tcPr>
            <w:tcW w:w="5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4,673</w:t>
            </w:r>
          </w:p>
        </w:tc>
        <w:tc>
          <w:tcPr>
            <w:tcW w:w="4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492"/>
              <w:spacing w:after="0"/>
              <w:rPr>
                <w:sz w:val="20"/>
                <w:szCs w:val="20"/>
                <w:color w:val="auto"/>
              </w:rPr>
            </w:pPr>
            <w:r>
              <w:rPr>
                <w:rFonts w:ascii="Arial" w:cs="Arial" w:eastAsia="Arial" w:hAnsi="Arial"/>
                <w:sz w:val="18"/>
                <w:szCs w:val="18"/>
                <w:color w:val="auto"/>
              </w:rPr>
              <w:t>(4,435)</w:t>
            </w:r>
          </w:p>
        </w:tc>
        <w:tc>
          <w:tcPr>
            <w:tcW w:w="10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(94.9)</w:t>
            </w:r>
          </w:p>
        </w:tc>
        <w:tc>
          <w:tcPr>
            <w:tcW w:w="0" w:type="dxa"/>
            <w:vAlign w:val="bottom"/>
          </w:tcPr>
          <w:p>
            <w:pPr>
              <w:spacing w:after="0"/>
              <w:rPr>
                <w:sz w:val="1"/>
                <w:szCs w:val="1"/>
                <w:color w:val="auto"/>
              </w:rPr>
            </w:pPr>
          </w:p>
        </w:tc>
      </w:tr>
      <w:tr>
        <w:trPr>
          <w:trHeight w:val="223"/>
        </w:trPr>
        <w:tc>
          <w:tcPr>
            <w:tcW w:w="5340" w:type="dxa"/>
            <w:vAlign w:val="bottom"/>
          </w:tcPr>
          <w:p>
            <w:pPr>
              <w:ind w:left="180"/>
              <w:spacing w:after="0"/>
              <w:rPr>
                <w:sz w:val="20"/>
                <w:szCs w:val="20"/>
                <w:color w:val="auto"/>
              </w:rPr>
            </w:pPr>
            <w:r>
              <w:rPr>
                <w:rFonts w:ascii="Arial" w:cs="Arial" w:eastAsia="Arial" w:hAnsi="Arial"/>
                <w:sz w:val="18"/>
                <w:szCs w:val="18"/>
                <w:b w:val="1"/>
                <w:bCs w:val="1"/>
                <w:color w:val="auto"/>
              </w:rPr>
              <w:t>Operating Expenses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109,183</w:t>
            </w:r>
          </w:p>
        </w:tc>
        <w:tc>
          <w:tcPr>
            <w:tcW w:w="5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112,733</w:t>
            </w:r>
          </w:p>
        </w:tc>
        <w:tc>
          <w:tcPr>
            <w:tcW w:w="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color w:val="auto"/>
              </w:rPr>
              <w:t>(3,550)</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
        </w:trPr>
        <w:tc>
          <w:tcPr>
            <w:tcW w:w="5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80" w:hanging="72"/>
        <w:spacing w:after="0"/>
        <w:tabs>
          <w:tab w:leader="none" w:pos="80" w:val="left"/>
        </w:tabs>
        <w:numPr>
          <w:ilvl w:val="0"/>
          <w:numId w:val="10"/>
        </w:numPr>
        <w:rPr>
          <w:rFonts w:ascii="Arial" w:cs="Arial" w:eastAsia="Arial" w:hAnsi="Arial"/>
          <w:sz w:val="9"/>
          <w:szCs w:val="9"/>
          <w:color w:val="auto"/>
        </w:rPr>
      </w:pPr>
      <w:r>
        <w:rPr>
          <w:rFonts w:ascii="Arial" w:cs="Arial" w:eastAsia="Arial" w:hAnsi="Arial"/>
          <w:sz w:val="14"/>
          <w:szCs w:val="14"/>
          <w:color w:val="auto"/>
        </w:rPr>
        <w:t>Personnel costs excludes stock-based compensation expense, which is reported separately in the operating expense table.</w:t>
      </w:r>
    </w:p>
    <w:p>
      <w:pPr>
        <w:spacing w:after="0" w:line="69" w:lineRule="exact"/>
        <w:rPr>
          <w:sz w:val="20"/>
          <w:szCs w:val="20"/>
          <w:color w:val="auto"/>
        </w:rPr>
      </w:pPr>
    </w:p>
    <w:p>
      <w:pPr>
        <w:ind w:left="80" w:right="60" w:hanging="72"/>
        <w:spacing w:after="0" w:line="298" w:lineRule="auto"/>
        <w:tabs>
          <w:tab w:leader="none" w:pos="69" w:val="left"/>
        </w:tabs>
        <w:numPr>
          <w:ilvl w:val="0"/>
          <w:numId w:val="11"/>
        </w:numPr>
        <w:rPr>
          <w:rFonts w:ascii="Arial" w:cs="Arial" w:eastAsia="Arial" w:hAnsi="Arial"/>
          <w:sz w:val="16"/>
          <w:szCs w:val="16"/>
          <w:color w:val="auto"/>
          <w:vertAlign w:val="superscript"/>
        </w:rPr>
      </w:pPr>
      <w:r>
        <w:rPr>
          <w:rFonts w:ascii="Arial" w:cs="Arial" w:eastAsia="Arial" w:hAnsi="Arial"/>
          <w:sz w:val="12"/>
          <w:szCs w:val="12"/>
          <w:color w:val="auto"/>
        </w:rPr>
        <w:t>Sales acquisition expense includes vendor incentives and rebates to POS partners, external sales commissions, amortization of initial direct costs and amounts paid to various POS partners to be their exclusive provider of lease-to-own solutions.</w:t>
      </w:r>
    </w:p>
    <w:p>
      <w:pPr>
        <w:ind w:left="80" w:hanging="72"/>
        <w:spacing w:after="0" w:line="205" w:lineRule="auto"/>
        <w:tabs>
          <w:tab w:leader="none" w:pos="80" w:val="left"/>
        </w:tabs>
        <w:numPr>
          <w:ilvl w:val="0"/>
          <w:numId w:val="12"/>
        </w:numPr>
        <w:rPr>
          <w:rFonts w:ascii="Arial" w:cs="Arial" w:eastAsia="Arial" w:hAnsi="Arial"/>
          <w:sz w:val="19"/>
          <w:szCs w:val="19"/>
          <w:color w:val="auto"/>
          <w:vertAlign w:val="superscript"/>
        </w:rPr>
      </w:pPr>
      <w:r>
        <w:rPr>
          <w:rFonts w:ascii="Arial" w:cs="Arial" w:eastAsia="Arial" w:hAnsi="Arial"/>
          <w:sz w:val="14"/>
          <w:szCs w:val="14"/>
          <w:color w:val="auto"/>
        </w:rPr>
        <w:t>Computer software expense consists primarily of software subscription fees, licensing fees and non-capitalizable software implementation costs.</w:t>
      </w:r>
    </w:p>
    <w:p>
      <w:pPr>
        <w:spacing w:after="0" w:line="12" w:lineRule="exact"/>
        <w:rPr>
          <w:sz w:val="20"/>
          <w:szCs w:val="20"/>
          <w:color w:val="auto"/>
        </w:rPr>
      </w:pPr>
    </w:p>
    <w:p>
      <w:pPr>
        <w:ind w:left="80" w:hanging="72"/>
        <w:spacing w:after="0"/>
        <w:tabs>
          <w:tab w:leader="none" w:pos="80" w:val="left"/>
        </w:tabs>
        <w:numPr>
          <w:ilvl w:val="0"/>
          <w:numId w:val="13"/>
        </w:numPr>
        <w:rPr>
          <w:rFonts w:ascii="Arial" w:cs="Arial" w:eastAsia="Arial" w:hAnsi="Arial"/>
          <w:sz w:val="19"/>
          <w:szCs w:val="19"/>
          <w:color w:val="auto"/>
          <w:vertAlign w:val="superscript"/>
        </w:rPr>
      </w:pPr>
      <w:r>
        <w:rPr>
          <w:rFonts w:ascii="Arial" w:cs="Arial" w:eastAsia="Arial" w:hAnsi="Arial"/>
          <w:sz w:val="14"/>
          <w:szCs w:val="14"/>
          <w:color w:val="auto"/>
        </w:rPr>
        <w:t>Progressive Leasing's sales, general and administrative expense was $77.2 million and $75.2 million during the three months ended September 30, 2023 and 2022, respectively.</w:t>
      </w:r>
    </w:p>
    <w:p>
      <w:pPr>
        <w:spacing w:after="0" w:line="14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242424"/>
        </w:rPr>
        <w:t xml:space="preserve">Stock-based compensation increased $1.9 million compared to the same period in </w:t>
      </w:r>
      <w:r>
        <w:rPr>
          <w:rFonts w:ascii="Arial" w:cs="Arial" w:eastAsia="Arial" w:hAnsi="Arial"/>
          <w:sz w:val="17"/>
          <w:szCs w:val="17"/>
          <w:color w:val="000000"/>
        </w:rPr>
        <w:t>2022</w:t>
      </w:r>
      <w:r>
        <w:rPr>
          <w:rFonts w:ascii="Arial" w:cs="Arial" w:eastAsia="Arial" w:hAnsi="Arial"/>
          <w:sz w:val="17"/>
          <w:szCs w:val="17"/>
          <w:color w:val="242424"/>
        </w:rPr>
        <w:t xml:space="preserve">, consisting of increases of $1.7 million at Progressive Leasing and $0.2 million at Vive. The increase at Progressive Leasing was primarily due to the Company determining in the second quarter of </w:t>
      </w:r>
      <w:r>
        <w:rPr>
          <w:rFonts w:ascii="Arial" w:cs="Arial" w:eastAsia="Arial" w:hAnsi="Arial"/>
          <w:sz w:val="17"/>
          <w:szCs w:val="17"/>
          <w:color w:val="000000"/>
        </w:rPr>
        <w:t>2022</w:t>
      </w:r>
      <w:r>
        <w:rPr>
          <w:rFonts w:ascii="Arial" w:cs="Arial" w:eastAsia="Arial" w:hAnsi="Arial"/>
          <w:sz w:val="17"/>
          <w:szCs w:val="17"/>
          <w:color w:val="242424"/>
        </w:rPr>
        <w:t xml:space="preserve"> that tranches of performance stock units granted in 2022 </w:t>
      </w:r>
      <w:r>
        <w:rPr>
          <w:rFonts w:ascii="Arial" w:cs="Arial" w:eastAsia="Arial" w:hAnsi="Arial"/>
          <w:sz w:val="17"/>
          <w:szCs w:val="17"/>
          <w:color w:val="000000"/>
        </w:rPr>
        <w:t>were</w:t>
      </w:r>
      <w:r>
        <w:rPr>
          <w:rFonts w:ascii="Arial" w:cs="Arial" w:eastAsia="Arial" w:hAnsi="Arial"/>
          <w:sz w:val="17"/>
          <w:szCs w:val="17"/>
          <w:color w:val="242424"/>
        </w:rPr>
        <w:t xml:space="preserve"> no longer probable of being earned, resulting in no stock-based compensation expense </w:t>
      </w:r>
      <w:r>
        <w:rPr>
          <w:rFonts w:ascii="Arial" w:cs="Arial" w:eastAsia="Arial" w:hAnsi="Arial"/>
          <w:sz w:val="17"/>
          <w:szCs w:val="17"/>
          <w:color w:val="000000"/>
        </w:rPr>
        <w:t>for those</w:t>
      </w:r>
      <w:r>
        <w:rPr>
          <w:rFonts w:ascii="Arial" w:cs="Arial" w:eastAsia="Arial" w:hAnsi="Arial"/>
          <w:sz w:val="17"/>
          <w:szCs w:val="17"/>
          <w:color w:val="242424"/>
        </w:rPr>
        <w:t xml:space="preserve"> performance stock units during the </w:t>
      </w:r>
      <w:r>
        <w:rPr>
          <w:rFonts w:ascii="Arial" w:cs="Arial" w:eastAsia="Arial" w:hAnsi="Arial"/>
          <w:sz w:val="17"/>
          <w:szCs w:val="17"/>
          <w:color w:val="000000"/>
        </w:rPr>
        <w:t>three months ended September 30, 2022</w:t>
      </w:r>
      <w:r>
        <w:rPr>
          <w:rFonts w:ascii="Arial" w:cs="Arial" w:eastAsia="Arial" w:hAnsi="Arial"/>
          <w:sz w:val="17"/>
          <w:szCs w:val="17"/>
          <w:color w:val="242424"/>
        </w:rPr>
        <w:t xml:space="preserve">. Stock-based compensation was also impacted by increases to the estimated number of performance stock units expected to be earned from those granted in </w:t>
      </w:r>
      <w:r>
        <w:rPr>
          <w:rFonts w:ascii="Arial" w:cs="Arial" w:eastAsia="Arial" w:hAnsi="Arial"/>
          <w:sz w:val="17"/>
          <w:szCs w:val="17"/>
          <w:color w:val="000000"/>
        </w:rPr>
        <w:t>2023</w:t>
      </w:r>
      <w:r>
        <w:rPr>
          <w:rFonts w:ascii="Arial" w:cs="Arial" w:eastAsia="Arial" w:hAnsi="Arial"/>
          <w:sz w:val="17"/>
          <w:szCs w:val="17"/>
          <w:color w:val="242424"/>
        </w:rPr>
        <w:t xml:space="preserve">, resulting in an increase of stock-based compensation expense for those awards during the </w:t>
      </w:r>
      <w:r>
        <w:rPr>
          <w:rFonts w:ascii="Arial" w:cs="Arial" w:eastAsia="Arial" w:hAnsi="Arial"/>
          <w:sz w:val="17"/>
          <w:szCs w:val="17"/>
          <w:color w:val="000000"/>
        </w:rPr>
        <w:t>three months ended September 30, 2023</w:t>
      </w:r>
      <w:r>
        <w:rPr>
          <w:rFonts w:ascii="Arial" w:cs="Arial" w:eastAsia="Arial" w:hAnsi="Arial"/>
          <w:sz w:val="17"/>
          <w:szCs w:val="17"/>
          <w:color w:val="242424"/>
        </w:rPr>
        <w:t>.</w:t>
      </w:r>
    </w:p>
    <w:p>
      <w:pPr>
        <w:spacing w:after="0" w:line="56"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242424"/>
        </w:rPr>
        <w:t xml:space="preserve">Professional services increased $3.1 million compared to the same period in </w:t>
      </w:r>
      <w:r>
        <w:rPr>
          <w:rFonts w:ascii="Arial" w:cs="Arial" w:eastAsia="Arial" w:hAnsi="Arial"/>
          <w:sz w:val="17"/>
          <w:szCs w:val="17"/>
          <w:color w:val="000000"/>
        </w:rPr>
        <w:t>2022, consisting of $2.7 million at Progressive Leasing and $0.3 million at</w:t>
      </w:r>
      <w:r>
        <w:rPr>
          <w:rFonts w:ascii="Arial" w:cs="Arial" w:eastAsia="Arial" w:hAnsi="Arial"/>
          <w:sz w:val="17"/>
          <w:szCs w:val="17"/>
          <w:color w:val="242424"/>
        </w:rPr>
        <w:t xml:space="preserve"> </w:t>
      </w:r>
      <w:r>
        <w:rPr>
          <w:rFonts w:ascii="Arial" w:cs="Arial" w:eastAsia="Arial" w:hAnsi="Arial"/>
          <w:sz w:val="17"/>
          <w:szCs w:val="17"/>
          <w:color w:val="000000"/>
        </w:rPr>
        <w:t xml:space="preserve">Four and other strategic businesses. The increase at Progressive Leasing was primarily due to costs incurred related to the cybersecurity incident during September 2023. Expenses for other legal services and contract labor also increased compared to </w:t>
      </w:r>
      <w:r>
        <w:rPr>
          <w:rFonts w:ascii="Arial" w:cs="Arial" w:eastAsia="Arial" w:hAnsi="Arial"/>
          <w:sz w:val="17"/>
          <w:szCs w:val="17"/>
          <w:color w:val="242424"/>
        </w:rPr>
        <w:t>the same period in</w:t>
      </w:r>
      <w:r>
        <w:rPr>
          <w:rFonts w:ascii="Arial" w:cs="Arial" w:eastAsia="Arial" w:hAnsi="Arial"/>
          <w:sz w:val="17"/>
          <w:szCs w:val="17"/>
          <w:color w:val="000000"/>
        </w:rPr>
        <w:t xml:space="preserve"> 2022. Costs for professional services for Four and other strategic initiatives increased primarily due to contract labor and legal services during the period.</w:t>
      </w:r>
    </w:p>
    <w:p>
      <w:pPr>
        <w:spacing w:after="0" w:line="50"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color w:val="242424"/>
        </w:rPr>
        <w:t xml:space="preserve">Restructuring expense decreased $4.4 million due to a decline in restructuring activities during the </w:t>
      </w:r>
      <w:r>
        <w:rPr>
          <w:rFonts w:ascii="Arial" w:cs="Arial" w:eastAsia="Arial" w:hAnsi="Arial"/>
          <w:sz w:val="16"/>
          <w:szCs w:val="16"/>
          <w:color w:val="000000"/>
        </w:rPr>
        <w:t>three months ended September 30, 2023</w:t>
      </w:r>
      <w:r>
        <w:rPr>
          <w:rFonts w:ascii="Arial" w:cs="Arial" w:eastAsia="Arial" w:hAnsi="Arial"/>
          <w:sz w:val="16"/>
          <w:szCs w:val="16"/>
          <w:color w:val="242424"/>
        </w:rPr>
        <w:t xml:space="preserve"> compared to the same period in </w:t>
      </w:r>
      <w:r>
        <w:rPr>
          <w:rFonts w:ascii="Arial" w:cs="Arial" w:eastAsia="Arial" w:hAnsi="Arial"/>
          <w:sz w:val="16"/>
          <w:szCs w:val="16"/>
          <w:color w:val="000000"/>
        </w:rPr>
        <w:t>2022. For the three months ended September 30, 2023, restructuring costs were related to employee severance within Progressive</w:t>
      </w:r>
      <w:r>
        <w:rPr>
          <w:rFonts w:ascii="Arial" w:cs="Arial" w:eastAsia="Arial" w:hAnsi="Arial"/>
          <w:sz w:val="16"/>
          <w:szCs w:val="16"/>
          <w:color w:val="242424"/>
        </w:rPr>
        <w:t xml:space="preserve"> </w:t>
      </w:r>
      <w:r>
        <w:rPr>
          <w:rFonts w:ascii="Arial" w:cs="Arial" w:eastAsia="Arial" w:hAnsi="Arial"/>
          <w:sz w:val="16"/>
          <w:szCs w:val="16"/>
          <w:color w:val="000000"/>
        </w:rPr>
        <w:t>Leasing. For the same period in 2022, restructuring costs included impairment of an operating lease right-of-use asset and other property and equipment related to a reduction of Progressive Leasing call center office space, and a higher amount of employee severance within Progressive Leasing.</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Costs and Expenses</w:t>
      </w:r>
    </w:p>
    <w:p>
      <w:pPr>
        <w:spacing w:after="0" w:line="90" w:lineRule="exact"/>
        <w:rPr>
          <w:sz w:val="20"/>
          <w:szCs w:val="20"/>
          <w:color w:val="auto"/>
        </w:rPr>
      </w:pPr>
    </w:p>
    <w:p>
      <w:pPr>
        <w:jc w:val="both"/>
        <w:ind w:right="60"/>
        <w:spacing w:after="0" w:line="279" w:lineRule="auto"/>
        <w:rPr>
          <w:sz w:val="20"/>
          <w:szCs w:val="20"/>
          <w:color w:val="auto"/>
        </w:rPr>
      </w:pPr>
      <w:r>
        <w:rPr>
          <w:rFonts w:ascii="Arial" w:cs="Arial" w:eastAsia="Arial" w:hAnsi="Arial"/>
          <w:sz w:val="17"/>
          <w:szCs w:val="17"/>
          <w:i w:val="1"/>
          <w:iCs w:val="1"/>
          <w:color w:val="auto"/>
        </w:rPr>
        <w:t xml:space="preserve">Depreciation of lease merchandise. </w:t>
      </w:r>
      <w:r>
        <w:rPr>
          <w:rFonts w:ascii="Arial" w:cs="Arial" w:eastAsia="Arial" w:hAnsi="Arial"/>
          <w:sz w:val="17"/>
          <w:szCs w:val="17"/>
          <w:color w:val="auto"/>
        </w:rPr>
        <w:t>Depreciation of lease merchandise decreased by 9.6% during the three months ended September 30, 2023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the same period in 2022. The decrease was primarily due to the decline in the size of the Company's lease portfolio. As a percentage of total lease revenues and fees, depreciation of lease merchandise decreased to 67.7% from 69.7% in the prior year quarter, primarily due to improved customer payment activity in the three months ended September 30, 2023 as compared to the same period in 2022.</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7" w:name="page28"/>
    <w:bookmarkEnd w:id="27"/>
    <w:p>
      <w:pPr>
        <w:ind w:right="100"/>
        <w:spacing w:after="0" w:line="291" w:lineRule="auto"/>
        <w:rPr>
          <w:sz w:val="20"/>
          <w:szCs w:val="20"/>
          <w:color w:val="auto"/>
        </w:rPr>
      </w:pPr>
      <w:r>
        <w:rPr>
          <w:rFonts w:ascii="Arial" w:cs="Arial" w:eastAsia="Arial" w:hAnsi="Arial"/>
          <w:sz w:val="16"/>
          <w:szCs w:val="16"/>
          <w:i w:val="1"/>
          <w:iCs w:val="1"/>
          <w:color w:val="auto"/>
        </w:rPr>
        <w:t>Provision for lease merchandise write-offs</w:t>
      </w:r>
      <w:r>
        <w:rPr>
          <w:rFonts w:ascii="Arial" w:cs="Arial" w:eastAsia="Arial" w:hAnsi="Arial"/>
          <w:sz w:val="16"/>
          <w:szCs w:val="16"/>
          <w:color w:val="auto"/>
        </w:rPr>
        <w:t>. The provision for lease merchandise write-offs decreased $6.6 million due to a reduction in the size of</w:t>
      </w:r>
      <w:r>
        <w:rPr>
          <w:rFonts w:ascii="Arial" w:cs="Arial" w:eastAsia="Arial" w:hAnsi="Arial"/>
          <w:sz w:val="16"/>
          <w:szCs w:val="16"/>
          <w:i w:val="1"/>
          <w:iCs w:val="1"/>
          <w:color w:val="auto"/>
        </w:rPr>
        <w:t xml:space="preserve"> </w:t>
      </w:r>
      <w:r>
        <w:rPr>
          <w:rFonts w:ascii="Arial" w:cs="Arial" w:eastAsia="Arial" w:hAnsi="Arial"/>
          <w:sz w:val="16"/>
          <w:szCs w:val="16"/>
          <w:color w:val="auto"/>
        </w:rPr>
        <w:t>Progressive Leasing's lease portfolio during the three months ended September 30, 2023 compared to the same period in 2022. The provision for lease merchandise write-offs also decreased due to improved customer payment activity and lower write-offs in the third quarter of 2023 as compared to the higher customer delinquencies and write-offs experienced in the third quarter of 2022. Given the significant economic uncertainty resulting from inflation, rising interest rates, the resumption of student loan repayment obligations in October 2023, and the potential effects of such developments on Progressive Leasing's POS partners, customers, and business going forward, a high level of estimation was involved in determining the allowance as of September 30, 2023. Actual lease merchandise write-offs could differ materially from the allowance for those write-offs.</w:t>
      </w:r>
    </w:p>
    <w:p>
      <w:pPr>
        <w:spacing w:after="0" w:line="31"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The provision for lease merchandise write-offs as a percentage of lease revenues decreased to 6.6% during the three months ended September 30, 2023 from 7.2% in the same period in 2022. The decrease in the provision was a result of improved customer payment activity and lower write-offs due to Progressive Leasing tightening its lease decisioning in mid-2022.</w:t>
      </w:r>
    </w:p>
    <w:p>
      <w:pPr>
        <w:spacing w:after="0" w:line="6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i w:val="1"/>
          <w:iCs w:val="1"/>
          <w:color w:val="auto"/>
        </w:rPr>
        <w:t xml:space="preserve">Impairment of Goodwill. </w:t>
      </w:r>
      <w:r>
        <w:rPr>
          <w:rFonts w:ascii="Arial" w:cs="Arial" w:eastAsia="Arial" w:hAnsi="Arial"/>
          <w:sz w:val="18"/>
          <w:szCs w:val="18"/>
          <w:color w:val="auto"/>
        </w:rPr>
        <w:t>The Company recorded a loss of $10.2 million to partially write-off the goodwill balance of the Four reporting unit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September 30, 2022.</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Interest expense, net. </w:t>
      </w:r>
      <w:r>
        <w:rPr>
          <w:rFonts w:ascii="Arial" w:cs="Arial" w:eastAsia="Arial" w:hAnsi="Arial"/>
          <w:sz w:val="18"/>
          <w:szCs w:val="18"/>
          <w:color w:val="auto"/>
        </w:rPr>
        <w:t>Information about interest expense and interest income is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0" w:type="dxa"/>
            <w:vAlign w:val="bottom"/>
            <w:gridSpan w:val="3"/>
          </w:tcPr>
          <w:p>
            <w:pPr>
              <w:jc w:val="right"/>
              <w:ind w:right="775"/>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500" w:type="dxa"/>
            <w:vAlign w:val="bottom"/>
            <w:vMerge w:val="restart"/>
          </w:tcPr>
          <w:p>
            <w:pPr>
              <w:jc w:val="right"/>
              <w:ind w:right="117"/>
              <w:spacing w:after="0"/>
              <w:rPr>
                <w:sz w:val="20"/>
                <w:szCs w:val="20"/>
                <w:color w:val="auto"/>
              </w:rPr>
            </w:pPr>
            <w:r>
              <w:rPr>
                <w:rFonts w:ascii="Arial" w:cs="Arial" w:eastAsia="Arial" w:hAnsi="Arial"/>
                <w:sz w:val="14"/>
                <w:szCs w:val="14"/>
                <w:b w:val="1"/>
                <w:bCs w:val="1"/>
                <w:color w:val="auto"/>
              </w:rPr>
              <w:t>Change</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3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vMerge w:val="continue"/>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1097"/>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9"/>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Interest Expense,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center"/>
              <w:ind w:left="399"/>
              <w:spacing w:after="0"/>
              <w:rPr>
                <w:sz w:val="20"/>
                <w:szCs w:val="20"/>
                <w:color w:val="auto"/>
              </w:rPr>
            </w:pPr>
            <w:r>
              <w:rPr>
                <w:rFonts w:ascii="Arial" w:cs="Arial" w:eastAsia="Arial" w:hAnsi="Arial"/>
                <w:sz w:val="18"/>
                <w:szCs w:val="18"/>
                <w:color w:val="auto"/>
                <w:w w:val="93"/>
              </w:rPr>
              <w:t>9,662</w:t>
            </w:r>
          </w:p>
        </w:tc>
        <w:tc>
          <w:tcPr>
            <w:tcW w:w="5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9,683</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497"/>
              <w:spacing w:after="0"/>
              <w:rPr>
                <w:sz w:val="20"/>
                <w:szCs w:val="20"/>
                <w:color w:val="auto"/>
              </w:rPr>
            </w:pPr>
            <w:r>
              <w:rPr>
                <w:rFonts w:ascii="Arial" w:cs="Arial" w:eastAsia="Arial" w:hAnsi="Arial"/>
                <w:sz w:val="18"/>
                <w:szCs w:val="18"/>
                <w:color w:val="auto"/>
              </w:rPr>
              <w:t>(21)</w:t>
            </w:r>
          </w:p>
        </w:tc>
        <w:tc>
          <w:tcPr>
            <w:tcW w:w="100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9"/>
        </w:trPr>
        <w:tc>
          <w:tcPr>
            <w:tcW w:w="5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Income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379"/>
              <w:spacing w:after="0"/>
              <w:rPr>
                <w:sz w:val="20"/>
                <w:szCs w:val="20"/>
                <w:color w:val="auto"/>
              </w:rPr>
            </w:pPr>
            <w:r>
              <w:rPr>
                <w:rFonts w:ascii="Arial" w:cs="Arial" w:eastAsia="Arial" w:hAnsi="Arial"/>
                <w:sz w:val="18"/>
                <w:szCs w:val="18"/>
                <w:color w:val="auto"/>
                <w:w w:val="91"/>
              </w:rPr>
              <w:t>(2,887)</w:t>
            </w:r>
          </w:p>
        </w:tc>
        <w:tc>
          <w:tcPr>
            <w:tcW w:w="5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4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497"/>
              <w:spacing w:after="0"/>
              <w:rPr>
                <w:sz w:val="20"/>
                <w:szCs w:val="20"/>
                <w:color w:val="auto"/>
              </w:rPr>
            </w:pPr>
            <w:r>
              <w:rPr>
                <w:rFonts w:ascii="Arial" w:cs="Arial" w:eastAsia="Arial" w:hAnsi="Arial"/>
                <w:sz w:val="18"/>
                <w:szCs w:val="18"/>
                <w:color w:val="auto"/>
              </w:rPr>
              <w:t>(2,667)</w:t>
            </w:r>
          </w:p>
        </w:tc>
        <w:tc>
          <w:tcPr>
            <w:tcW w:w="100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nmf</w:t>
            </w:r>
          </w:p>
        </w:tc>
        <w:tc>
          <w:tcPr>
            <w:tcW w:w="0" w:type="dxa"/>
            <w:vAlign w:val="bottom"/>
          </w:tcPr>
          <w:p>
            <w:pPr>
              <w:spacing w:after="0"/>
              <w:rPr>
                <w:sz w:val="1"/>
                <w:szCs w:val="1"/>
                <w:color w:val="auto"/>
              </w:rPr>
            </w:pPr>
          </w:p>
        </w:tc>
      </w:tr>
      <w:tr>
        <w:trPr>
          <w:trHeight w:val="223"/>
        </w:trPr>
        <w:tc>
          <w:tcPr>
            <w:tcW w:w="5380" w:type="dxa"/>
            <w:vAlign w:val="bottom"/>
          </w:tcPr>
          <w:p>
            <w:pPr>
              <w:ind w:left="20"/>
              <w:spacing w:after="0"/>
              <w:rPr>
                <w:sz w:val="20"/>
                <w:szCs w:val="20"/>
                <w:color w:val="auto"/>
              </w:rPr>
            </w:pPr>
            <w:r>
              <w:rPr>
                <w:rFonts w:ascii="Arial" w:cs="Arial" w:eastAsia="Arial" w:hAnsi="Arial"/>
                <w:sz w:val="18"/>
                <w:szCs w:val="18"/>
                <w:color w:val="auto"/>
              </w:rPr>
              <w:t>Total Interest Expense, Net</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center"/>
              <w:ind w:left="399"/>
              <w:spacing w:after="0"/>
              <w:rPr>
                <w:sz w:val="20"/>
                <w:szCs w:val="20"/>
                <w:color w:val="auto"/>
              </w:rPr>
            </w:pPr>
            <w:r>
              <w:rPr>
                <w:rFonts w:ascii="Arial" w:cs="Arial" w:eastAsia="Arial" w:hAnsi="Arial"/>
                <w:sz w:val="18"/>
                <w:szCs w:val="18"/>
                <w:color w:val="auto"/>
                <w:w w:val="93"/>
              </w:rPr>
              <w:t>6,775</w:t>
            </w:r>
          </w:p>
        </w:tc>
        <w:tc>
          <w:tcPr>
            <w:tcW w:w="5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9,463</w:t>
            </w:r>
          </w:p>
        </w:tc>
        <w:tc>
          <w:tcPr>
            <w:tcW w:w="4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ind w:right="497"/>
              <w:spacing w:after="0"/>
              <w:rPr>
                <w:sz w:val="20"/>
                <w:szCs w:val="20"/>
                <w:color w:val="auto"/>
              </w:rPr>
            </w:pPr>
            <w:r>
              <w:rPr>
                <w:rFonts w:ascii="Arial" w:cs="Arial" w:eastAsia="Arial" w:hAnsi="Arial"/>
                <w:sz w:val="18"/>
                <w:szCs w:val="18"/>
                <w:color w:val="auto"/>
              </w:rPr>
              <w:t>(2,688)</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nmf - Calculation is not meaningful</w:t>
      </w:r>
    </w:p>
    <w:p>
      <w:pPr>
        <w:spacing w:after="0" w:line="181"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Interest expense, net decreased $2.7 million due to interest income earned on the Company's deposits in cash and cash equivalents resulting from an increase in deposits in higher yield accounts. The Company earned interest income of $2.9 million during the three months ended September 30, 2023 compared to $0.3 million during the same period in 2022.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Before Income Tax Expense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our earnings before income tax expense by reportable segment is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20" w:type="dxa"/>
            <w:vAlign w:val="bottom"/>
            <w:gridSpan w:val="3"/>
          </w:tcPr>
          <w:p>
            <w:pPr>
              <w:jc w:val="right"/>
              <w:ind w:right="774"/>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52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rPr>
              <w:t>Change</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3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vMerge w:val="continue"/>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1096"/>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EARNINGS BEFORE INCOME TAX EXPENSE: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40" w:type="dxa"/>
            <w:vAlign w:val="bottom"/>
          </w:tcPr>
          <w:p>
            <w:pPr>
              <w:ind w:left="20"/>
              <w:spacing w:after="0"/>
              <w:rPr>
                <w:sz w:val="20"/>
                <w:szCs w:val="20"/>
                <w:color w:val="auto"/>
              </w:rPr>
            </w:pPr>
            <w:r>
              <w:rPr>
                <w:rFonts w:ascii="Arial" w:cs="Arial" w:eastAsia="Arial" w:hAnsi="Arial"/>
                <w:sz w:val="18"/>
                <w:szCs w:val="18"/>
                <w:color w:val="auto"/>
              </w:rPr>
              <w:t>Progressive Leasing</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8"/>
              <w:spacing w:after="0"/>
              <w:rPr>
                <w:sz w:val="20"/>
                <w:szCs w:val="20"/>
                <w:color w:val="auto"/>
              </w:rPr>
            </w:pPr>
            <w:r>
              <w:rPr>
                <w:rFonts w:ascii="Arial" w:cs="Arial" w:eastAsia="Arial" w:hAnsi="Arial"/>
                <w:sz w:val="18"/>
                <w:szCs w:val="18"/>
                <w:color w:val="auto"/>
              </w:rPr>
              <w:t>53,941</w:t>
            </w:r>
          </w:p>
        </w:tc>
        <w:tc>
          <w:tcPr>
            <w:tcW w:w="5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43,492</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556"/>
              <w:spacing w:after="0"/>
              <w:rPr>
                <w:sz w:val="20"/>
                <w:szCs w:val="20"/>
                <w:color w:val="auto"/>
              </w:rPr>
            </w:pPr>
            <w:r>
              <w:rPr>
                <w:rFonts w:ascii="Arial" w:cs="Arial" w:eastAsia="Arial" w:hAnsi="Arial"/>
                <w:sz w:val="18"/>
                <w:szCs w:val="18"/>
                <w:color w:val="auto"/>
              </w:rPr>
              <w:t>10,449</w:t>
            </w:r>
          </w:p>
        </w:tc>
        <w:tc>
          <w:tcPr>
            <w:tcW w:w="1000" w:type="dxa"/>
            <w:vAlign w:val="bottom"/>
          </w:tcPr>
          <w:p>
            <w:pPr>
              <w:ind w:left="460"/>
              <w:spacing w:after="0"/>
              <w:rPr>
                <w:sz w:val="20"/>
                <w:szCs w:val="20"/>
                <w:color w:val="auto"/>
              </w:rPr>
            </w:pPr>
            <w:r>
              <w:rPr>
                <w:rFonts w:ascii="Arial" w:cs="Arial" w:eastAsia="Arial" w:hAnsi="Arial"/>
                <w:sz w:val="18"/>
                <w:szCs w:val="18"/>
                <w:color w:val="auto"/>
                <w:w w:val="92"/>
              </w:rPr>
              <w:t>24.0 %</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Vive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565</w:t>
            </w: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1,376</w:t>
            </w:r>
          </w:p>
        </w:tc>
        <w:tc>
          <w:tcPr>
            <w:tcW w:w="4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516"/>
              <w:spacing w:after="0"/>
              <w:rPr>
                <w:sz w:val="20"/>
                <w:szCs w:val="20"/>
                <w:color w:val="auto"/>
              </w:rPr>
            </w:pPr>
            <w:r>
              <w:rPr>
                <w:rFonts w:ascii="Arial" w:cs="Arial" w:eastAsia="Arial" w:hAnsi="Arial"/>
                <w:sz w:val="18"/>
                <w:szCs w:val="18"/>
                <w:color w:val="auto"/>
              </w:rPr>
              <w:t>(811)</w:t>
            </w:r>
          </w:p>
        </w:tc>
        <w:tc>
          <w:tcPr>
            <w:tcW w:w="10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30"/>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(6,397)</w:t>
            </w: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(17,520)</w:t>
            </w:r>
          </w:p>
        </w:tc>
        <w:tc>
          <w:tcPr>
            <w:tcW w:w="4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556"/>
              <w:spacing w:after="0"/>
              <w:rPr>
                <w:sz w:val="20"/>
                <w:szCs w:val="20"/>
                <w:color w:val="auto"/>
              </w:rPr>
            </w:pPr>
            <w:r>
              <w:rPr>
                <w:rFonts w:ascii="Arial" w:cs="Arial" w:eastAsia="Arial" w:hAnsi="Arial"/>
                <w:sz w:val="18"/>
                <w:szCs w:val="18"/>
                <w:color w:val="auto"/>
              </w:rPr>
              <w:t>11,123</w:t>
            </w:r>
          </w:p>
        </w:tc>
        <w:tc>
          <w:tcPr>
            <w:tcW w:w="100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48"/>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Earnings Before Income Tax Expense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48,109</w:t>
            </w:r>
          </w:p>
        </w:tc>
        <w:tc>
          <w:tcPr>
            <w:tcW w:w="5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27,348</w:t>
            </w:r>
          </w:p>
        </w:tc>
        <w:tc>
          <w:tcPr>
            <w:tcW w:w="4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8"/>
                <w:szCs w:val="18"/>
                <w:color w:val="auto"/>
              </w:rPr>
              <w:t>20,761</w:t>
            </w:r>
          </w:p>
        </w:tc>
        <w:tc>
          <w:tcPr>
            <w:tcW w:w="100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w w:val="92"/>
              </w:rPr>
              <w:t>75.9 %</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loss before income tax expense within Other primarily relates to our Four operations. Factors impacting the change in earnings before income taxes for each reporting segment are discussed above.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0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Income tax expense increased to $13.1 million for the three months ended September 30, 2023 compared to $11.3 million in the prior year comparable period due to higher earnings before income tax expense, partially offset by the non-deductible goodwill impairment loss recognized for Four in the third quarter of 2022. The effective income tax rate for the three months ended September 30, 2023 was 27.2% compared to 41.5% for the same period in 2022. The decrease in the effective tax rate was primarily driven by discrete income tax expenses related to the non-deductible goodwill impairment loss for Four of $10.2 million that occurred in the third quarter of 2022.</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Results of Operations – Nine Months Ended September 30, 2023 and 2022</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60" w:type="dxa"/>
            <w:vAlign w:val="bottom"/>
            <w:gridSpan w:val="2"/>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2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Change</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3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2023</w:t>
            </w:r>
          </w:p>
        </w:tc>
        <w:tc>
          <w:tcPr>
            <w:tcW w:w="6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w w:val="83"/>
              </w:rPr>
              <w:t>2022</w:t>
            </w:r>
          </w:p>
        </w:tc>
        <w:tc>
          <w:tcPr>
            <w:tcW w:w="4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1092"/>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360"/>
              <w:spacing w:after="0"/>
              <w:rPr>
                <w:sz w:val="20"/>
                <w:szCs w:val="20"/>
                <w:color w:val="auto"/>
              </w:rPr>
            </w:pPr>
            <w:r>
              <w:rPr>
                <w:rFonts w:ascii="Arial" w:cs="Arial" w:eastAsia="Arial" w:hAnsi="Arial"/>
                <w:sz w:val="18"/>
                <w:szCs w:val="18"/>
                <w:color w:val="auto"/>
              </w:rPr>
              <w:t>Lease Revenues and Fees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1,776,104</w:t>
            </w:r>
          </w:p>
        </w:tc>
        <w:tc>
          <w:tcPr>
            <w:tcW w:w="6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w w:val="94"/>
              </w:rPr>
              <w:t>1,930,843</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492"/>
              <w:spacing w:after="0"/>
              <w:rPr>
                <w:sz w:val="20"/>
                <w:szCs w:val="20"/>
                <w:color w:val="auto"/>
              </w:rPr>
            </w:pPr>
            <w:r>
              <w:rPr>
                <w:rFonts w:ascii="Arial" w:cs="Arial" w:eastAsia="Arial" w:hAnsi="Arial"/>
                <w:sz w:val="18"/>
                <w:szCs w:val="18"/>
                <w:color w:val="auto"/>
              </w:rPr>
              <w:t>(154,739)</w:t>
            </w:r>
          </w:p>
        </w:tc>
        <w:tc>
          <w:tcPr>
            <w:tcW w:w="100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and Fees on Loans Receivable</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54,759</w:t>
            </w:r>
          </w:p>
        </w:tc>
        <w:tc>
          <w:tcPr>
            <w:tcW w:w="6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54,886</w:t>
            </w:r>
          </w:p>
        </w:tc>
        <w:tc>
          <w:tcPr>
            <w:tcW w:w="4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492"/>
              <w:spacing w:after="0"/>
              <w:rPr>
                <w:sz w:val="20"/>
                <w:szCs w:val="20"/>
                <w:color w:val="auto"/>
              </w:rPr>
            </w:pPr>
            <w:r>
              <w:rPr>
                <w:rFonts w:ascii="Arial" w:cs="Arial" w:eastAsia="Arial" w:hAnsi="Arial"/>
                <w:sz w:val="18"/>
                <w:szCs w:val="18"/>
                <w:color w:val="auto"/>
              </w:rPr>
              <w:t>(127)</w:t>
            </w:r>
          </w:p>
        </w:tc>
        <w:tc>
          <w:tcPr>
            <w:tcW w:w="10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3"/>
        </w:trPr>
        <w:tc>
          <w:tcPr>
            <w:tcW w:w="5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1,830,863</w:t>
            </w:r>
          </w:p>
        </w:tc>
        <w:tc>
          <w:tcPr>
            <w:tcW w:w="62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w w:val="94"/>
              </w:rPr>
              <w:t>1,985,729</w:t>
            </w:r>
          </w:p>
        </w:tc>
        <w:tc>
          <w:tcPr>
            <w:tcW w:w="400" w:type="dxa"/>
            <w:vAlign w:val="bottom"/>
          </w:tcPr>
          <w:p>
            <w:pPr>
              <w:spacing w:after="0"/>
              <w:rPr>
                <w:sz w:val="19"/>
                <w:szCs w:val="19"/>
                <w:color w:val="auto"/>
              </w:rPr>
            </w:pPr>
          </w:p>
        </w:tc>
        <w:tc>
          <w:tcPr>
            <w:tcW w:w="1520" w:type="dxa"/>
            <w:vAlign w:val="bottom"/>
          </w:tcPr>
          <w:p>
            <w:pPr>
              <w:jc w:val="right"/>
              <w:ind w:right="492"/>
              <w:spacing w:after="0"/>
              <w:rPr>
                <w:sz w:val="20"/>
                <w:szCs w:val="20"/>
                <w:color w:val="auto"/>
              </w:rPr>
            </w:pPr>
            <w:r>
              <w:rPr>
                <w:rFonts w:ascii="Arial" w:cs="Arial" w:eastAsia="Arial" w:hAnsi="Arial"/>
                <w:sz w:val="18"/>
                <w:szCs w:val="18"/>
                <w:color w:val="auto"/>
              </w:rPr>
              <w:t>(154,866)</w:t>
            </w: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20" w:type="dxa"/>
            <w:vAlign w:val="bottom"/>
          </w:tcPr>
          <w:p>
            <w:pPr>
              <w:ind w:left="360"/>
              <w:spacing w:after="0"/>
              <w:rPr>
                <w:sz w:val="20"/>
                <w:szCs w:val="20"/>
                <w:color w:val="auto"/>
              </w:rPr>
            </w:pPr>
            <w:r>
              <w:rPr>
                <w:rFonts w:ascii="Arial" w:cs="Arial" w:eastAsia="Arial" w:hAnsi="Arial"/>
                <w:sz w:val="18"/>
                <w:szCs w:val="18"/>
                <w:color w:val="auto"/>
              </w:rPr>
              <w:t>Depreciation of Lease Merchandise</w:t>
            </w:r>
          </w:p>
        </w:tc>
        <w:tc>
          <w:tcPr>
            <w:tcW w:w="34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1,202,157</w:t>
            </w:r>
          </w:p>
        </w:tc>
        <w:tc>
          <w:tcPr>
            <w:tcW w:w="62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w w:val="94"/>
              </w:rPr>
              <w:t>1,358,713</w:t>
            </w:r>
          </w:p>
        </w:tc>
        <w:tc>
          <w:tcPr>
            <w:tcW w:w="400" w:type="dxa"/>
            <w:vAlign w:val="bottom"/>
          </w:tcPr>
          <w:p>
            <w:pPr>
              <w:spacing w:after="0"/>
              <w:rPr>
                <w:sz w:val="19"/>
                <w:szCs w:val="19"/>
                <w:color w:val="auto"/>
              </w:rPr>
            </w:pPr>
          </w:p>
        </w:tc>
        <w:tc>
          <w:tcPr>
            <w:tcW w:w="1520" w:type="dxa"/>
            <w:vAlign w:val="bottom"/>
          </w:tcPr>
          <w:p>
            <w:pPr>
              <w:jc w:val="right"/>
              <w:ind w:right="492"/>
              <w:spacing w:after="0"/>
              <w:rPr>
                <w:sz w:val="20"/>
                <w:szCs w:val="20"/>
                <w:color w:val="auto"/>
              </w:rPr>
            </w:pPr>
            <w:r>
              <w:rPr>
                <w:rFonts w:ascii="Arial" w:cs="Arial" w:eastAsia="Arial" w:hAnsi="Arial"/>
                <w:sz w:val="18"/>
                <w:szCs w:val="18"/>
                <w:color w:val="auto"/>
              </w:rPr>
              <w:t>(156,556)</w:t>
            </w: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Lease Merchandise Write-Offs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116,295</w:t>
            </w:r>
          </w:p>
        </w:tc>
        <w:tc>
          <w:tcPr>
            <w:tcW w:w="6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155,655</w:t>
            </w:r>
          </w:p>
        </w:tc>
        <w:tc>
          <w:tcPr>
            <w:tcW w:w="4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492"/>
              <w:spacing w:after="0"/>
              <w:rPr>
                <w:sz w:val="20"/>
                <w:szCs w:val="20"/>
                <w:color w:val="auto"/>
              </w:rPr>
            </w:pPr>
            <w:r>
              <w:rPr>
                <w:rFonts w:ascii="Arial" w:cs="Arial" w:eastAsia="Arial" w:hAnsi="Arial"/>
                <w:sz w:val="18"/>
                <w:szCs w:val="18"/>
                <w:color w:val="auto"/>
              </w:rPr>
              <w:t>(39,360)</w:t>
            </w:r>
          </w:p>
        </w:tc>
        <w:tc>
          <w:tcPr>
            <w:tcW w:w="10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29"/>
        </w:trPr>
        <w:tc>
          <w:tcPr>
            <w:tcW w:w="5320" w:type="dxa"/>
            <w:vAlign w:val="bottom"/>
          </w:tcPr>
          <w:p>
            <w:pPr>
              <w:ind w:left="36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322,152</w:t>
            </w:r>
          </w:p>
        </w:tc>
        <w:tc>
          <w:tcPr>
            <w:tcW w:w="62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337,997</w:t>
            </w:r>
          </w:p>
        </w:tc>
        <w:tc>
          <w:tcPr>
            <w:tcW w:w="400" w:type="dxa"/>
            <w:vAlign w:val="bottom"/>
          </w:tcPr>
          <w:p>
            <w:pPr>
              <w:spacing w:after="0"/>
              <w:rPr>
                <w:sz w:val="19"/>
                <w:szCs w:val="19"/>
                <w:color w:val="auto"/>
              </w:rPr>
            </w:pPr>
          </w:p>
        </w:tc>
        <w:tc>
          <w:tcPr>
            <w:tcW w:w="1520" w:type="dxa"/>
            <w:vAlign w:val="bottom"/>
          </w:tcPr>
          <w:p>
            <w:pPr>
              <w:jc w:val="right"/>
              <w:ind w:right="492"/>
              <w:spacing w:after="0"/>
              <w:rPr>
                <w:sz w:val="20"/>
                <w:szCs w:val="20"/>
                <w:color w:val="auto"/>
              </w:rPr>
            </w:pPr>
            <w:r>
              <w:rPr>
                <w:rFonts w:ascii="Arial" w:cs="Arial" w:eastAsia="Arial" w:hAnsi="Arial"/>
                <w:sz w:val="18"/>
                <w:szCs w:val="18"/>
                <w:color w:val="auto"/>
              </w:rPr>
              <w:t>(15,845)</w:t>
            </w: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Impairment of Goodwill</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10,151</w:t>
            </w:r>
          </w:p>
        </w:tc>
        <w:tc>
          <w:tcPr>
            <w:tcW w:w="4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492"/>
              <w:spacing w:after="0"/>
              <w:rPr>
                <w:sz w:val="20"/>
                <w:szCs w:val="20"/>
                <w:color w:val="auto"/>
              </w:rPr>
            </w:pPr>
            <w:r>
              <w:rPr>
                <w:rFonts w:ascii="Arial" w:cs="Arial" w:eastAsia="Arial" w:hAnsi="Arial"/>
                <w:sz w:val="18"/>
                <w:szCs w:val="18"/>
                <w:color w:val="auto"/>
              </w:rPr>
              <w:t>(10,151)</w:t>
            </w:r>
          </w:p>
        </w:tc>
        <w:tc>
          <w:tcPr>
            <w:tcW w:w="10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nmf</w:t>
            </w:r>
          </w:p>
        </w:tc>
        <w:tc>
          <w:tcPr>
            <w:tcW w:w="0" w:type="dxa"/>
            <w:vAlign w:val="bottom"/>
          </w:tcPr>
          <w:p>
            <w:pPr>
              <w:spacing w:after="0"/>
              <w:rPr>
                <w:sz w:val="1"/>
                <w:szCs w:val="1"/>
                <w:color w:val="auto"/>
              </w:rPr>
            </w:pPr>
          </w:p>
        </w:tc>
      </w:tr>
      <w:tr>
        <w:trPr>
          <w:trHeight w:val="223"/>
        </w:trPr>
        <w:tc>
          <w:tcPr>
            <w:tcW w:w="5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1,640,604</w:t>
            </w:r>
          </w:p>
        </w:tc>
        <w:tc>
          <w:tcPr>
            <w:tcW w:w="62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w w:val="94"/>
              </w:rPr>
              <w:t>1,862,516</w:t>
            </w:r>
          </w:p>
        </w:tc>
        <w:tc>
          <w:tcPr>
            <w:tcW w:w="400" w:type="dxa"/>
            <w:vAlign w:val="bottom"/>
          </w:tcPr>
          <w:p>
            <w:pPr>
              <w:spacing w:after="0"/>
              <w:rPr>
                <w:sz w:val="19"/>
                <w:szCs w:val="19"/>
                <w:color w:val="auto"/>
              </w:rPr>
            </w:pPr>
          </w:p>
        </w:tc>
        <w:tc>
          <w:tcPr>
            <w:tcW w:w="1520" w:type="dxa"/>
            <w:vAlign w:val="bottom"/>
          </w:tcPr>
          <w:p>
            <w:pPr>
              <w:jc w:val="right"/>
              <w:ind w:right="492"/>
              <w:spacing w:after="0"/>
              <w:rPr>
                <w:sz w:val="20"/>
                <w:szCs w:val="20"/>
                <w:color w:val="auto"/>
              </w:rPr>
            </w:pPr>
            <w:r>
              <w:rPr>
                <w:rFonts w:ascii="Arial" w:cs="Arial" w:eastAsia="Arial" w:hAnsi="Arial"/>
                <w:sz w:val="18"/>
                <w:szCs w:val="18"/>
                <w:color w:val="auto"/>
              </w:rPr>
              <w:t>(221,912)</w:t>
            </w: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PROFIT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190,259</w:t>
            </w:r>
          </w:p>
        </w:tc>
        <w:tc>
          <w:tcPr>
            <w:tcW w:w="6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123,213</w:t>
            </w:r>
          </w:p>
        </w:tc>
        <w:tc>
          <w:tcPr>
            <w:tcW w:w="4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67,046</w:t>
            </w:r>
          </w:p>
        </w:tc>
        <w:tc>
          <w:tcPr>
            <w:tcW w:w="10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29"/>
        </w:trPr>
        <w:tc>
          <w:tcPr>
            <w:tcW w:w="53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Interest Expense, Net</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(22,549)</w:t>
            </w: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(28,700)</w:t>
            </w:r>
          </w:p>
        </w:tc>
        <w:tc>
          <w:tcPr>
            <w:tcW w:w="4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color w:val="auto"/>
              </w:rPr>
              <w:t>6,151</w:t>
            </w:r>
          </w:p>
        </w:tc>
        <w:tc>
          <w:tcPr>
            <w:tcW w:w="100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23"/>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EARNINGS BEFORE INCOME TAX EXPENSE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167,710</w:t>
            </w:r>
          </w:p>
        </w:tc>
        <w:tc>
          <w:tcPr>
            <w:tcW w:w="6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94,513</w:t>
            </w:r>
          </w:p>
        </w:tc>
        <w:tc>
          <w:tcPr>
            <w:tcW w:w="4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73,197</w:t>
            </w:r>
          </w:p>
        </w:tc>
        <w:tc>
          <w:tcPr>
            <w:tcW w:w="10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29"/>
        </w:trPr>
        <w:tc>
          <w:tcPr>
            <w:tcW w:w="53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INCOME TAX EXPENSE</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47,447</w:t>
            </w: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31,889</w:t>
            </w:r>
          </w:p>
        </w:tc>
        <w:tc>
          <w:tcPr>
            <w:tcW w:w="4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color w:val="auto"/>
              </w:rPr>
              <w:t>15,558</w:t>
            </w:r>
          </w:p>
        </w:tc>
        <w:tc>
          <w:tcPr>
            <w:tcW w:w="100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48"/>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EARNINGS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120,263</w:t>
            </w:r>
          </w:p>
        </w:tc>
        <w:tc>
          <w:tcPr>
            <w:tcW w:w="62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62,624</w:t>
            </w:r>
          </w:p>
        </w:tc>
        <w:tc>
          <w:tcPr>
            <w:tcW w:w="4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shd w:val="clear" w:color="auto" w:fill="CCEEFF"/>
          </w:tcPr>
          <w:p>
            <w:pPr>
              <w:jc w:val="right"/>
              <w:ind w:right="532"/>
              <w:spacing w:after="0"/>
              <w:rPr>
                <w:sz w:val="20"/>
                <w:szCs w:val="20"/>
                <w:color w:val="auto"/>
              </w:rPr>
            </w:pPr>
            <w:r>
              <w:rPr>
                <w:rFonts w:ascii="Arial" w:cs="Arial" w:eastAsia="Arial" w:hAnsi="Arial"/>
                <w:sz w:val="18"/>
                <w:szCs w:val="18"/>
                <w:color w:val="auto"/>
              </w:rPr>
              <w:t>57,639</w:t>
            </w:r>
          </w:p>
        </w:tc>
        <w:tc>
          <w:tcPr>
            <w:tcW w:w="100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w w:val="92"/>
              </w:rPr>
              <w:t>92.0 %</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4"/>
          <w:szCs w:val="14"/>
          <w:color w:val="auto"/>
        </w:rPr>
        <w:t>nmf - Calculation is not meaningful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our revenues by source and reportable segment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360" w:type="dxa"/>
            <w:vAlign w:val="bottom"/>
            <w:gridSpan w:val="4"/>
          </w:tcPr>
          <w:p>
            <w:pPr>
              <w:jc w:val="right"/>
              <w:spacing w:after="0"/>
              <w:rPr>
                <w:sz w:val="20"/>
                <w:szCs w:val="20"/>
                <w:color w:val="auto"/>
              </w:rPr>
            </w:pPr>
            <w:r>
              <w:rPr>
                <w:rFonts w:ascii="Arial" w:cs="Arial" w:eastAsia="Arial" w:hAnsi="Arial"/>
                <w:sz w:val="14"/>
                <w:szCs w:val="14"/>
                <w:b w:val="1"/>
                <w:bCs w:val="1"/>
                <w:color w:val="auto"/>
              </w:rPr>
              <w:t>Nine Months Ended September 30, 2023</w:t>
            </w: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360" w:type="dxa"/>
            <w:vAlign w:val="bottom"/>
            <w:gridSpan w:val="4"/>
          </w:tcPr>
          <w:p>
            <w:pPr>
              <w:jc w:val="right"/>
              <w:spacing w:after="0"/>
              <w:rPr>
                <w:sz w:val="20"/>
                <w:szCs w:val="20"/>
                <w:color w:val="auto"/>
              </w:rPr>
            </w:pPr>
            <w:r>
              <w:rPr>
                <w:rFonts w:ascii="Arial" w:cs="Arial" w:eastAsia="Arial" w:hAnsi="Arial"/>
                <w:sz w:val="14"/>
                <w:szCs w:val="14"/>
                <w:b w:val="1"/>
                <w:bCs w:val="1"/>
                <w:color w:val="auto"/>
              </w:rPr>
              <w:t>Nine Months Ended September 30, 2022</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4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4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1"/>
                <w:szCs w:val="11"/>
                <w:color w:val="auto"/>
              </w:rPr>
            </w:pPr>
          </w:p>
        </w:tc>
        <w:tc>
          <w:tcPr>
            <w:tcW w:w="940" w:type="dxa"/>
            <w:vAlign w:val="bottom"/>
          </w:tcPr>
          <w:p>
            <w:pPr>
              <w:jc w:val="right"/>
              <w:ind w:right="99"/>
              <w:spacing w:after="0" w:line="133" w:lineRule="exact"/>
              <w:rPr>
                <w:sz w:val="20"/>
                <w:szCs w:val="20"/>
                <w:color w:val="auto"/>
              </w:rPr>
            </w:pPr>
            <w:r>
              <w:rPr>
                <w:rFonts w:ascii="Arial" w:cs="Arial" w:eastAsia="Arial" w:hAnsi="Arial"/>
                <w:sz w:val="14"/>
                <w:szCs w:val="14"/>
                <w:b w:val="1"/>
                <w:bCs w:val="1"/>
                <w:color w:val="auto"/>
                <w:w w:val="92"/>
              </w:rPr>
              <w:t>Progressive</w:t>
            </w:r>
          </w:p>
        </w:tc>
        <w:tc>
          <w:tcPr>
            <w:tcW w:w="280" w:type="dxa"/>
            <w:vAlign w:val="bottom"/>
          </w:tcPr>
          <w:p>
            <w:pPr>
              <w:spacing w:after="0"/>
              <w:rPr>
                <w:sz w:val="11"/>
                <w:szCs w:val="11"/>
                <w:color w:val="auto"/>
              </w:rPr>
            </w:pPr>
          </w:p>
        </w:tc>
        <w:tc>
          <w:tcPr>
            <w:tcW w:w="1040" w:type="dxa"/>
            <w:vAlign w:val="bottom"/>
            <w:vMerge w:val="restart"/>
          </w:tcPr>
          <w:p>
            <w:pPr>
              <w:jc w:val="right"/>
              <w:ind w:right="535"/>
              <w:spacing w:after="0"/>
              <w:rPr>
                <w:sz w:val="20"/>
                <w:szCs w:val="20"/>
                <w:color w:val="auto"/>
              </w:rPr>
            </w:pPr>
            <w:r>
              <w:rPr>
                <w:rFonts w:ascii="Arial" w:cs="Arial" w:eastAsia="Arial" w:hAnsi="Arial"/>
                <w:sz w:val="14"/>
                <w:szCs w:val="14"/>
                <w:b w:val="1"/>
                <w:bCs w:val="1"/>
                <w:color w:val="auto"/>
              </w:rPr>
              <w:t>Vive</w:t>
            </w:r>
          </w:p>
        </w:tc>
        <w:tc>
          <w:tcPr>
            <w:tcW w:w="1100" w:type="dxa"/>
            <w:vAlign w:val="bottom"/>
            <w:vMerge w:val="restart"/>
          </w:tcPr>
          <w:p>
            <w:pPr>
              <w:jc w:val="right"/>
              <w:ind w:right="515"/>
              <w:spacing w:after="0"/>
              <w:rPr>
                <w:sz w:val="20"/>
                <w:szCs w:val="20"/>
                <w:color w:val="auto"/>
              </w:rPr>
            </w:pPr>
            <w:r>
              <w:rPr>
                <w:rFonts w:ascii="Arial" w:cs="Arial" w:eastAsia="Arial" w:hAnsi="Arial"/>
                <w:sz w:val="14"/>
                <w:szCs w:val="14"/>
                <w:b w:val="1"/>
                <w:bCs w:val="1"/>
                <w:color w:val="auto"/>
              </w:rPr>
              <w:t>Other</w:t>
            </w:r>
          </w:p>
        </w:tc>
        <w:tc>
          <w:tcPr>
            <w:tcW w:w="86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1"/>
                <w:szCs w:val="11"/>
                <w:color w:val="auto"/>
              </w:rPr>
            </w:pPr>
          </w:p>
        </w:tc>
        <w:tc>
          <w:tcPr>
            <w:tcW w:w="940" w:type="dxa"/>
            <w:vAlign w:val="bottom"/>
          </w:tcPr>
          <w:p>
            <w:pPr>
              <w:jc w:val="right"/>
              <w:ind w:right="99"/>
              <w:spacing w:after="0" w:line="133" w:lineRule="exact"/>
              <w:rPr>
                <w:sz w:val="20"/>
                <w:szCs w:val="20"/>
                <w:color w:val="auto"/>
              </w:rPr>
            </w:pPr>
            <w:r>
              <w:rPr>
                <w:rFonts w:ascii="Arial" w:cs="Arial" w:eastAsia="Arial" w:hAnsi="Arial"/>
                <w:sz w:val="14"/>
                <w:szCs w:val="14"/>
                <w:b w:val="1"/>
                <w:bCs w:val="1"/>
                <w:color w:val="auto"/>
                <w:w w:val="92"/>
              </w:rPr>
              <w:t>Progressive</w:t>
            </w:r>
          </w:p>
        </w:tc>
        <w:tc>
          <w:tcPr>
            <w:tcW w:w="280" w:type="dxa"/>
            <w:vAlign w:val="bottom"/>
          </w:tcPr>
          <w:p>
            <w:pPr>
              <w:spacing w:after="0"/>
              <w:rPr>
                <w:sz w:val="11"/>
                <w:szCs w:val="11"/>
                <w:color w:val="auto"/>
              </w:rPr>
            </w:pPr>
          </w:p>
        </w:tc>
        <w:tc>
          <w:tcPr>
            <w:tcW w:w="1040" w:type="dxa"/>
            <w:vAlign w:val="bottom"/>
            <w:vMerge w:val="restart"/>
          </w:tcPr>
          <w:p>
            <w:pPr>
              <w:jc w:val="right"/>
              <w:ind w:right="535"/>
              <w:spacing w:after="0"/>
              <w:rPr>
                <w:sz w:val="20"/>
                <w:szCs w:val="20"/>
                <w:color w:val="auto"/>
              </w:rPr>
            </w:pPr>
            <w:r>
              <w:rPr>
                <w:rFonts w:ascii="Arial" w:cs="Arial" w:eastAsia="Arial" w:hAnsi="Arial"/>
                <w:sz w:val="14"/>
                <w:szCs w:val="14"/>
                <w:b w:val="1"/>
                <w:bCs w:val="1"/>
                <w:color w:val="auto"/>
              </w:rPr>
              <w:t>Vive</w:t>
            </w:r>
          </w:p>
        </w:tc>
        <w:tc>
          <w:tcPr>
            <w:tcW w:w="1100" w:type="dxa"/>
            <w:vAlign w:val="bottom"/>
            <w:vMerge w:val="restart"/>
          </w:tcPr>
          <w:p>
            <w:pPr>
              <w:jc w:val="right"/>
              <w:ind w:right="515"/>
              <w:spacing w:after="0"/>
              <w:rPr>
                <w:sz w:val="20"/>
                <w:szCs w:val="20"/>
                <w:color w:val="auto"/>
              </w:rPr>
            </w:pPr>
            <w:r>
              <w:rPr>
                <w:rFonts w:ascii="Arial" w:cs="Arial" w:eastAsia="Arial" w:hAnsi="Arial"/>
                <w:sz w:val="14"/>
                <w:szCs w:val="14"/>
                <w:b w:val="1"/>
                <w:bCs w:val="1"/>
                <w:color w:val="auto"/>
              </w:rPr>
              <w:t>Other</w:t>
            </w:r>
          </w:p>
        </w:tc>
        <w:tc>
          <w:tcPr>
            <w:tcW w:w="88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44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Leasing</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Leasing</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Revenues and Fees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1,776,104</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 $</w:t>
            </w:r>
          </w:p>
        </w:tc>
        <w:tc>
          <w:tcPr>
            <w:tcW w:w="11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 $</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1,776,104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1,930,843</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 $</w:t>
            </w:r>
          </w:p>
        </w:tc>
        <w:tc>
          <w:tcPr>
            <w:tcW w:w="11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 $</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1,930,843</w:t>
            </w:r>
          </w:p>
        </w:tc>
        <w:tc>
          <w:tcPr>
            <w:tcW w:w="0" w:type="dxa"/>
            <w:vAlign w:val="bottom"/>
          </w:tcPr>
          <w:p>
            <w:pPr>
              <w:spacing w:after="0"/>
              <w:rPr>
                <w:sz w:val="1"/>
                <w:szCs w:val="1"/>
                <w:color w:val="auto"/>
              </w:rPr>
            </w:pPr>
          </w:p>
        </w:tc>
      </w:tr>
      <w:tr>
        <w:trPr>
          <w:trHeight w:val="175"/>
        </w:trPr>
        <w:tc>
          <w:tcPr>
            <w:tcW w:w="2440" w:type="dxa"/>
            <w:vAlign w:val="bottom"/>
          </w:tcPr>
          <w:p>
            <w:pPr>
              <w:ind w:left="20"/>
              <w:spacing w:after="0" w:line="176" w:lineRule="exact"/>
              <w:rPr>
                <w:sz w:val="20"/>
                <w:szCs w:val="20"/>
                <w:color w:val="auto"/>
              </w:rPr>
            </w:pPr>
            <w:r>
              <w:rPr>
                <w:rFonts w:ascii="Arial" w:cs="Arial" w:eastAsia="Arial" w:hAnsi="Arial"/>
                <w:sz w:val="18"/>
                <w:szCs w:val="18"/>
                <w:color w:val="auto"/>
              </w:rPr>
              <w:t>Interest and Fees on Loans</w:t>
            </w: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Receivable</w:t>
            </w: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15"/>
              <w:spacing w:after="0"/>
              <w:rPr>
                <w:sz w:val="20"/>
                <w:szCs w:val="20"/>
                <w:color w:val="auto"/>
              </w:rPr>
            </w:pPr>
            <w:r>
              <w:rPr>
                <w:rFonts w:ascii="Arial" w:cs="Arial" w:eastAsia="Arial" w:hAnsi="Arial"/>
                <w:sz w:val="18"/>
                <w:szCs w:val="18"/>
                <w:color w:val="auto"/>
              </w:rPr>
              <w:t>51,887</w:t>
            </w:r>
          </w:p>
        </w:tc>
        <w:tc>
          <w:tcPr>
            <w:tcW w:w="1100" w:type="dxa"/>
            <w:vAlign w:val="bottom"/>
            <w:tcBorders>
              <w:bottom w:val="single" w:sz="8" w:color="auto"/>
            </w:tcBorders>
          </w:tcPr>
          <w:p>
            <w:pPr>
              <w:jc w:val="right"/>
              <w:ind w:right="235"/>
              <w:spacing w:after="0"/>
              <w:rPr>
                <w:sz w:val="20"/>
                <w:szCs w:val="20"/>
                <w:color w:val="auto"/>
              </w:rPr>
            </w:pPr>
            <w:r>
              <w:rPr>
                <w:rFonts w:ascii="Arial" w:cs="Arial" w:eastAsia="Arial" w:hAnsi="Arial"/>
                <w:sz w:val="18"/>
                <w:szCs w:val="18"/>
                <w:color w:val="auto"/>
              </w:rPr>
              <w:t>2,872</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54,759</w:t>
            </w: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15"/>
              <w:spacing w:after="0"/>
              <w:rPr>
                <w:sz w:val="20"/>
                <w:szCs w:val="20"/>
                <w:color w:val="auto"/>
              </w:rPr>
            </w:pPr>
            <w:r>
              <w:rPr>
                <w:rFonts w:ascii="Arial" w:cs="Arial" w:eastAsia="Arial" w:hAnsi="Arial"/>
                <w:sz w:val="18"/>
                <w:szCs w:val="18"/>
                <w:color w:val="auto"/>
              </w:rPr>
              <w:t>53,026</w:t>
            </w:r>
          </w:p>
        </w:tc>
        <w:tc>
          <w:tcPr>
            <w:tcW w:w="1100" w:type="dxa"/>
            <w:vAlign w:val="bottom"/>
            <w:tcBorders>
              <w:bottom w:val="single" w:sz="8" w:color="auto"/>
            </w:tcBorders>
          </w:tcPr>
          <w:p>
            <w:pPr>
              <w:jc w:val="right"/>
              <w:ind w:right="235"/>
              <w:spacing w:after="0"/>
              <w:rPr>
                <w:sz w:val="20"/>
                <w:szCs w:val="20"/>
                <w:color w:val="auto"/>
              </w:rPr>
            </w:pPr>
            <w:r>
              <w:rPr>
                <w:rFonts w:ascii="Arial" w:cs="Arial" w:eastAsia="Arial" w:hAnsi="Arial"/>
                <w:sz w:val="18"/>
                <w:szCs w:val="18"/>
                <w:color w:val="auto"/>
              </w:rPr>
              <w:t>1,860</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54,886</w:t>
            </w:r>
          </w:p>
        </w:tc>
        <w:tc>
          <w:tcPr>
            <w:tcW w:w="0" w:type="dxa"/>
            <w:vAlign w:val="bottom"/>
          </w:tcPr>
          <w:p>
            <w:pPr>
              <w:spacing w:after="0"/>
              <w:rPr>
                <w:sz w:val="1"/>
                <w:szCs w:val="1"/>
                <w:color w:val="auto"/>
              </w:rPr>
            </w:pPr>
          </w:p>
        </w:tc>
      </w:tr>
      <w:tr>
        <w:trPr>
          <w:trHeight w:val="248"/>
        </w:trPr>
        <w:tc>
          <w:tcPr>
            <w:tcW w:w="2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1,776,104</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51,887 $</w:t>
            </w:r>
          </w:p>
        </w:tc>
        <w:tc>
          <w:tcPr>
            <w:tcW w:w="11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2,872 $</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1,830,863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1,930,843</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53,026 $</w:t>
            </w:r>
          </w:p>
        </w:tc>
        <w:tc>
          <w:tcPr>
            <w:tcW w:w="11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1,860 $</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1,985,729</w:t>
            </w: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decrease in Progressive Leasing revenues was primarily the result of having a smaller lease portfolio at the beginning of the period as compared to the same period in the prior year, and a decline in the number of customers electing to exercise early lease buyouts during the nine months ended September 30, 2023, as compared to the same period in 2022. The smaller lease portfolio was due to a decrease in Progressive Leasing's GMV for the nine months ended September 30, 2023, as compared to the same period in the prior year, resulting from tightened lease decisioning in mid-2022, and decreased customer demand for many of the products offered by our POS partners.The decline in revenues was partially offset by improved customer payment activity in the nine months ended September 30, 2023, as compared to the same period in 2022. Vive revenues remained relatively flat as compared to the nine months ended September 30, 2022. The increase to Other revenue was primarily driven by a 39.6% increase in Four's GMV as compared to the same period in 2022.</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0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Information about certain significant components of operating expenses for the nine months ended September 30, 2023 as compared to the nine months ended September 30, 2022 is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20" w:type="dxa"/>
            <w:vAlign w:val="bottom"/>
            <w:gridSpan w:val="3"/>
          </w:tcPr>
          <w:p>
            <w:pPr>
              <w:jc w:val="right"/>
              <w:ind w:right="791"/>
              <w:spacing w:after="0"/>
              <w:rPr>
                <w:sz w:val="20"/>
                <w:szCs w:val="20"/>
                <w:color w:val="auto"/>
              </w:rPr>
            </w:pPr>
            <w:r>
              <w:rPr>
                <w:rFonts w:ascii="Arial" w:cs="Arial" w:eastAsia="Arial" w:hAnsi="Arial"/>
                <w:sz w:val="14"/>
                <w:szCs w:val="14"/>
                <w:b w:val="1"/>
                <w:bCs w:val="1"/>
                <w:color w:val="auto"/>
              </w:rPr>
              <w:t>Nine Months Ended</w:t>
            </w:r>
          </w:p>
        </w:tc>
        <w:tc>
          <w:tcPr>
            <w:tcW w:w="440" w:type="dxa"/>
            <w:vAlign w:val="bottom"/>
          </w:tcPr>
          <w:p>
            <w:pPr>
              <w:spacing w:after="0"/>
              <w:rPr>
                <w:sz w:val="14"/>
                <w:szCs w:val="14"/>
                <w:color w:val="auto"/>
              </w:rPr>
            </w:pPr>
          </w:p>
        </w:tc>
        <w:tc>
          <w:tcPr>
            <w:tcW w:w="150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Change</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3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vMerge w:val="continue"/>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1092"/>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Personnel Costs</w:t>
            </w:r>
            <w:r>
              <w:rPr>
                <w:rFonts w:ascii="Arial" w:cs="Arial" w:eastAsia="Arial" w:hAnsi="Arial"/>
                <w:sz w:val="23"/>
                <w:szCs w:val="23"/>
                <w:color w:val="auto"/>
                <w:vertAlign w:val="superscript"/>
              </w:rPr>
              <w:t>1</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140,642</w:t>
            </w:r>
          </w:p>
        </w:tc>
        <w:tc>
          <w:tcPr>
            <w:tcW w:w="5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147,864</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492"/>
              <w:spacing w:after="0"/>
              <w:rPr>
                <w:sz w:val="20"/>
                <w:szCs w:val="20"/>
                <w:color w:val="auto"/>
              </w:rPr>
            </w:pPr>
            <w:r>
              <w:rPr>
                <w:rFonts w:ascii="Arial" w:cs="Arial" w:eastAsia="Arial" w:hAnsi="Arial"/>
                <w:sz w:val="18"/>
                <w:szCs w:val="18"/>
                <w:color w:val="auto"/>
              </w:rPr>
              <w:t>(7,222)</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534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19"/>
                <w:szCs w:val="19"/>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19,081</w:t>
            </w:r>
          </w:p>
        </w:tc>
        <w:tc>
          <w:tcPr>
            <w:tcW w:w="56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13,930</w:t>
            </w:r>
          </w:p>
        </w:tc>
        <w:tc>
          <w:tcPr>
            <w:tcW w:w="440" w:type="dxa"/>
            <w:vAlign w:val="bottom"/>
          </w:tcPr>
          <w:p>
            <w:pPr>
              <w:spacing w:after="0"/>
              <w:rPr>
                <w:sz w:val="19"/>
                <w:szCs w:val="19"/>
                <w:color w:val="auto"/>
              </w:rPr>
            </w:pPr>
          </w:p>
        </w:tc>
        <w:tc>
          <w:tcPr>
            <w:tcW w:w="1500" w:type="dxa"/>
            <w:vAlign w:val="bottom"/>
          </w:tcPr>
          <w:p>
            <w:pPr>
              <w:jc w:val="right"/>
              <w:ind w:right="532"/>
              <w:spacing w:after="0"/>
              <w:rPr>
                <w:sz w:val="20"/>
                <w:szCs w:val="20"/>
                <w:color w:val="auto"/>
              </w:rPr>
            </w:pPr>
            <w:r>
              <w:rPr>
                <w:rFonts w:ascii="Arial" w:cs="Arial" w:eastAsia="Arial" w:hAnsi="Arial"/>
                <w:sz w:val="18"/>
                <w:szCs w:val="18"/>
                <w:color w:val="auto"/>
              </w:rPr>
              <w:t>5,151</w:t>
            </w: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Occupancy Costs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4,058</w:t>
            </w: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5,001</w:t>
            </w:r>
          </w:p>
        </w:tc>
        <w:tc>
          <w:tcPr>
            <w:tcW w:w="4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492"/>
              <w:spacing w:after="0"/>
              <w:rPr>
                <w:sz w:val="20"/>
                <w:szCs w:val="20"/>
                <w:color w:val="auto"/>
              </w:rPr>
            </w:pPr>
            <w:r>
              <w:rPr>
                <w:rFonts w:ascii="Arial" w:cs="Arial" w:eastAsia="Arial" w:hAnsi="Arial"/>
                <w:sz w:val="18"/>
                <w:szCs w:val="18"/>
                <w:color w:val="auto"/>
              </w:rPr>
              <w:t>(943)</w:t>
            </w:r>
          </w:p>
        </w:tc>
        <w:tc>
          <w:tcPr>
            <w:tcW w:w="10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29"/>
        </w:trPr>
        <w:tc>
          <w:tcPr>
            <w:tcW w:w="5340" w:type="dxa"/>
            <w:vAlign w:val="bottom"/>
          </w:tcPr>
          <w:p>
            <w:pPr>
              <w:ind w:left="20"/>
              <w:spacing w:after="0"/>
              <w:rPr>
                <w:sz w:val="20"/>
                <w:szCs w:val="20"/>
                <w:color w:val="auto"/>
              </w:rPr>
            </w:pPr>
            <w:r>
              <w:rPr>
                <w:rFonts w:ascii="Arial" w:cs="Arial" w:eastAsia="Arial" w:hAnsi="Arial"/>
                <w:sz w:val="18"/>
                <w:szCs w:val="18"/>
                <w:color w:val="auto"/>
              </w:rPr>
              <w:t>Advertising</w:t>
            </w:r>
          </w:p>
        </w:tc>
        <w:tc>
          <w:tcPr>
            <w:tcW w:w="340" w:type="dxa"/>
            <w:vAlign w:val="bottom"/>
          </w:tcPr>
          <w:p>
            <w:pPr>
              <w:spacing w:after="0"/>
              <w:rPr>
                <w:sz w:val="19"/>
                <w:szCs w:val="19"/>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10,381</w:t>
            </w:r>
          </w:p>
        </w:tc>
        <w:tc>
          <w:tcPr>
            <w:tcW w:w="56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10,544</w:t>
            </w:r>
          </w:p>
        </w:tc>
        <w:tc>
          <w:tcPr>
            <w:tcW w:w="440" w:type="dxa"/>
            <w:vAlign w:val="bottom"/>
          </w:tcPr>
          <w:p>
            <w:pPr>
              <w:spacing w:after="0"/>
              <w:rPr>
                <w:sz w:val="19"/>
                <w:szCs w:val="19"/>
                <w:color w:val="auto"/>
              </w:rPr>
            </w:pPr>
          </w:p>
        </w:tc>
        <w:tc>
          <w:tcPr>
            <w:tcW w:w="1500" w:type="dxa"/>
            <w:vAlign w:val="bottom"/>
          </w:tcPr>
          <w:p>
            <w:pPr>
              <w:jc w:val="right"/>
              <w:ind w:right="492"/>
              <w:spacing w:after="0"/>
              <w:rPr>
                <w:sz w:val="20"/>
                <w:szCs w:val="20"/>
                <w:color w:val="auto"/>
              </w:rPr>
            </w:pPr>
            <w:r>
              <w:rPr>
                <w:rFonts w:ascii="Arial" w:cs="Arial" w:eastAsia="Arial" w:hAnsi="Arial"/>
                <w:sz w:val="18"/>
                <w:szCs w:val="18"/>
                <w:color w:val="auto"/>
              </w:rPr>
              <w:t>(163)</w:t>
            </w: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Services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19,190</w:t>
            </w: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17,867</w:t>
            </w:r>
          </w:p>
        </w:tc>
        <w:tc>
          <w:tcPr>
            <w:tcW w:w="4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1,323</w:t>
            </w:r>
          </w:p>
        </w:tc>
        <w:tc>
          <w:tcPr>
            <w:tcW w:w="10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9"/>
        </w:trPr>
        <w:tc>
          <w:tcPr>
            <w:tcW w:w="5340" w:type="dxa"/>
            <w:vAlign w:val="bottom"/>
          </w:tcPr>
          <w:p>
            <w:pPr>
              <w:ind w:left="20"/>
              <w:spacing w:after="0" w:line="230" w:lineRule="exact"/>
              <w:rPr>
                <w:sz w:val="20"/>
                <w:szCs w:val="20"/>
                <w:color w:val="auto"/>
              </w:rPr>
            </w:pPr>
            <w:r>
              <w:rPr>
                <w:rFonts w:ascii="Arial" w:cs="Arial" w:eastAsia="Arial" w:hAnsi="Arial"/>
                <w:sz w:val="18"/>
                <w:szCs w:val="18"/>
                <w:color w:val="auto"/>
              </w:rPr>
              <w:t>Sales Acquisition Expense</w:t>
            </w:r>
            <w:r>
              <w:rPr>
                <w:rFonts w:ascii="Arial" w:cs="Arial" w:eastAsia="Arial" w:hAnsi="Arial"/>
                <w:sz w:val="23"/>
                <w:szCs w:val="23"/>
                <w:color w:val="auto"/>
                <w:vertAlign w:val="superscript"/>
              </w:rPr>
              <w:t>2</w:t>
            </w:r>
          </w:p>
        </w:tc>
        <w:tc>
          <w:tcPr>
            <w:tcW w:w="340" w:type="dxa"/>
            <w:vAlign w:val="bottom"/>
          </w:tcPr>
          <w:p>
            <w:pPr>
              <w:spacing w:after="0"/>
              <w:rPr>
                <w:sz w:val="19"/>
                <w:szCs w:val="19"/>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20,605</w:t>
            </w:r>
          </w:p>
        </w:tc>
        <w:tc>
          <w:tcPr>
            <w:tcW w:w="56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21,609</w:t>
            </w:r>
          </w:p>
        </w:tc>
        <w:tc>
          <w:tcPr>
            <w:tcW w:w="440" w:type="dxa"/>
            <w:vAlign w:val="bottom"/>
          </w:tcPr>
          <w:p>
            <w:pPr>
              <w:spacing w:after="0"/>
              <w:rPr>
                <w:sz w:val="19"/>
                <w:szCs w:val="19"/>
                <w:color w:val="auto"/>
              </w:rPr>
            </w:pPr>
          </w:p>
        </w:tc>
        <w:tc>
          <w:tcPr>
            <w:tcW w:w="1500" w:type="dxa"/>
            <w:vAlign w:val="bottom"/>
          </w:tcPr>
          <w:p>
            <w:pPr>
              <w:jc w:val="right"/>
              <w:ind w:right="492"/>
              <w:spacing w:after="0"/>
              <w:rPr>
                <w:sz w:val="20"/>
                <w:szCs w:val="20"/>
                <w:color w:val="auto"/>
              </w:rPr>
            </w:pPr>
            <w:r>
              <w:rPr>
                <w:rFonts w:ascii="Arial" w:cs="Arial" w:eastAsia="Arial" w:hAnsi="Arial"/>
                <w:sz w:val="18"/>
                <w:szCs w:val="18"/>
                <w:color w:val="auto"/>
              </w:rPr>
              <w:t>(1,004)</w:t>
            </w: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Computer Software Expense</w:t>
            </w:r>
            <w:r>
              <w:rPr>
                <w:rFonts w:ascii="Arial" w:cs="Arial" w:eastAsia="Arial" w:hAnsi="Arial"/>
                <w:sz w:val="23"/>
                <w:szCs w:val="23"/>
                <w:color w:val="auto"/>
                <w:vertAlign w:val="superscript"/>
              </w:rPr>
              <w:t>3</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19,176</w:t>
            </w: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19,947</w:t>
            </w:r>
          </w:p>
        </w:tc>
        <w:tc>
          <w:tcPr>
            <w:tcW w:w="4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492"/>
              <w:spacing w:after="0"/>
              <w:rPr>
                <w:sz w:val="20"/>
                <w:szCs w:val="20"/>
                <w:color w:val="auto"/>
              </w:rPr>
            </w:pPr>
            <w:r>
              <w:rPr>
                <w:rFonts w:ascii="Arial" w:cs="Arial" w:eastAsia="Arial" w:hAnsi="Arial"/>
                <w:sz w:val="18"/>
                <w:szCs w:val="18"/>
                <w:color w:val="auto"/>
              </w:rPr>
              <w:t>(771)</w:t>
            </w:r>
          </w:p>
        </w:tc>
        <w:tc>
          <w:tcPr>
            <w:tcW w:w="10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5340" w:type="dxa"/>
            <w:vAlign w:val="bottom"/>
          </w:tcPr>
          <w:p>
            <w:pPr>
              <w:ind w:left="20"/>
              <w:spacing w:after="0"/>
              <w:rPr>
                <w:sz w:val="20"/>
                <w:szCs w:val="20"/>
                <w:color w:val="auto"/>
              </w:rPr>
            </w:pPr>
            <w:r>
              <w:rPr>
                <w:rFonts w:ascii="Arial" w:cs="Arial" w:eastAsia="Arial" w:hAnsi="Arial"/>
                <w:sz w:val="18"/>
                <w:szCs w:val="18"/>
                <w:color w:val="auto"/>
              </w:rPr>
              <w:t>Bank Service Charges</w:t>
            </w:r>
          </w:p>
        </w:tc>
        <w:tc>
          <w:tcPr>
            <w:tcW w:w="340" w:type="dxa"/>
            <w:vAlign w:val="bottom"/>
          </w:tcPr>
          <w:p>
            <w:pPr>
              <w:spacing w:after="0"/>
              <w:rPr>
                <w:sz w:val="19"/>
                <w:szCs w:val="19"/>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8,405</w:t>
            </w:r>
          </w:p>
        </w:tc>
        <w:tc>
          <w:tcPr>
            <w:tcW w:w="56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9,439</w:t>
            </w:r>
          </w:p>
        </w:tc>
        <w:tc>
          <w:tcPr>
            <w:tcW w:w="440" w:type="dxa"/>
            <w:vAlign w:val="bottom"/>
          </w:tcPr>
          <w:p>
            <w:pPr>
              <w:spacing w:after="0"/>
              <w:rPr>
                <w:sz w:val="19"/>
                <w:szCs w:val="19"/>
                <w:color w:val="auto"/>
              </w:rPr>
            </w:pPr>
          </w:p>
        </w:tc>
        <w:tc>
          <w:tcPr>
            <w:tcW w:w="1500" w:type="dxa"/>
            <w:vAlign w:val="bottom"/>
          </w:tcPr>
          <w:p>
            <w:pPr>
              <w:jc w:val="right"/>
              <w:ind w:right="492"/>
              <w:spacing w:after="0"/>
              <w:rPr>
                <w:sz w:val="20"/>
                <w:szCs w:val="20"/>
                <w:color w:val="auto"/>
              </w:rPr>
            </w:pPr>
            <w:r>
              <w:rPr>
                <w:rFonts w:ascii="Arial" w:cs="Arial" w:eastAsia="Arial" w:hAnsi="Arial"/>
                <w:sz w:val="18"/>
                <w:szCs w:val="18"/>
                <w:color w:val="auto"/>
              </w:rPr>
              <w:t>(1,034)</w:t>
            </w: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Sales, General and Administrative Expense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26,754</w:t>
            </w:r>
          </w:p>
        </w:tc>
        <w:tc>
          <w:tcPr>
            <w:tcW w:w="5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28,858</w:t>
            </w:r>
          </w:p>
        </w:tc>
        <w:tc>
          <w:tcPr>
            <w:tcW w:w="4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492"/>
              <w:spacing w:after="0"/>
              <w:rPr>
                <w:sz w:val="20"/>
                <w:szCs w:val="20"/>
                <w:color w:val="auto"/>
              </w:rPr>
            </w:pPr>
            <w:r>
              <w:rPr>
                <w:rFonts w:ascii="Arial" w:cs="Arial" w:eastAsia="Arial" w:hAnsi="Arial"/>
                <w:sz w:val="18"/>
                <w:szCs w:val="18"/>
                <w:color w:val="auto"/>
              </w:rPr>
              <w:t>(2,104)</w:t>
            </w:r>
          </w:p>
        </w:tc>
        <w:tc>
          <w:tcPr>
            <w:tcW w:w="10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23"/>
        </w:trPr>
        <w:tc>
          <w:tcPr>
            <w:tcW w:w="5340" w:type="dxa"/>
            <w:vAlign w:val="bottom"/>
            <w:tcBorders>
              <w:bottom w:val="single" w:sz="8" w:color="CCEEFF"/>
            </w:tcBorders>
          </w:tcPr>
          <w:p>
            <w:pPr>
              <w:ind w:left="180"/>
              <w:spacing w:after="0" w:line="223" w:lineRule="exact"/>
              <w:rPr>
                <w:sz w:val="20"/>
                <w:szCs w:val="20"/>
                <w:color w:val="auto"/>
              </w:rPr>
            </w:pPr>
            <w:r>
              <w:rPr>
                <w:rFonts w:ascii="Arial" w:cs="Arial" w:eastAsia="Arial" w:hAnsi="Arial"/>
                <w:sz w:val="18"/>
                <w:szCs w:val="18"/>
                <w:b w:val="1"/>
                <w:bCs w:val="1"/>
                <w:color w:val="auto"/>
              </w:rPr>
              <w:t>Sales, General and Administrative Expense</w:t>
            </w:r>
            <w:r>
              <w:rPr>
                <w:rFonts w:ascii="Arial" w:cs="Arial" w:eastAsia="Arial" w:hAnsi="Arial"/>
                <w:sz w:val="23"/>
                <w:szCs w:val="23"/>
                <w:color w:val="auto"/>
                <w:vertAlign w:val="superscript"/>
              </w:rPr>
              <w:t>4</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268,292</w:t>
            </w: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275,059</w:t>
            </w:r>
          </w:p>
        </w:tc>
        <w:tc>
          <w:tcPr>
            <w:tcW w:w="4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color w:val="auto"/>
              </w:rPr>
              <w:t>(6,767)</w:t>
            </w:r>
          </w:p>
        </w:tc>
        <w:tc>
          <w:tcPr>
            <w:tcW w:w="10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Loan losses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28,026</w:t>
            </w: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28,491</w:t>
            </w:r>
          </w:p>
        </w:tc>
        <w:tc>
          <w:tcPr>
            <w:tcW w:w="4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492"/>
              <w:spacing w:after="0"/>
              <w:rPr>
                <w:sz w:val="20"/>
                <w:szCs w:val="20"/>
                <w:color w:val="auto"/>
              </w:rPr>
            </w:pPr>
            <w:r>
              <w:rPr>
                <w:rFonts w:ascii="Arial" w:cs="Arial" w:eastAsia="Arial" w:hAnsi="Arial"/>
                <w:sz w:val="18"/>
                <w:szCs w:val="18"/>
                <w:color w:val="auto"/>
              </w:rPr>
              <w:t>(465)</w:t>
            </w:r>
          </w:p>
        </w:tc>
        <w:tc>
          <w:tcPr>
            <w:tcW w:w="10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534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9"/>
                <w:szCs w:val="19"/>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23,876</w:t>
            </w:r>
          </w:p>
        </w:tc>
        <w:tc>
          <w:tcPr>
            <w:tcW w:w="56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25,446</w:t>
            </w:r>
          </w:p>
        </w:tc>
        <w:tc>
          <w:tcPr>
            <w:tcW w:w="440" w:type="dxa"/>
            <w:vAlign w:val="bottom"/>
          </w:tcPr>
          <w:p>
            <w:pPr>
              <w:spacing w:after="0"/>
              <w:rPr>
                <w:sz w:val="19"/>
                <w:szCs w:val="19"/>
                <w:color w:val="auto"/>
              </w:rPr>
            </w:pPr>
          </w:p>
        </w:tc>
        <w:tc>
          <w:tcPr>
            <w:tcW w:w="1500" w:type="dxa"/>
            <w:vAlign w:val="bottom"/>
          </w:tcPr>
          <w:p>
            <w:pPr>
              <w:jc w:val="right"/>
              <w:ind w:right="492"/>
              <w:spacing w:after="0"/>
              <w:rPr>
                <w:sz w:val="20"/>
                <w:szCs w:val="20"/>
                <w:color w:val="auto"/>
              </w:rPr>
            </w:pPr>
            <w:r>
              <w:rPr>
                <w:rFonts w:ascii="Arial" w:cs="Arial" w:eastAsia="Arial" w:hAnsi="Arial"/>
                <w:sz w:val="18"/>
                <w:szCs w:val="18"/>
                <w:color w:val="auto"/>
              </w:rPr>
              <w:t>(1,570)</w:t>
            </w: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Expense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1,958</w:t>
            </w:r>
          </w:p>
        </w:tc>
        <w:tc>
          <w:tcPr>
            <w:tcW w:w="5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9,001</w:t>
            </w:r>
          </w:p>
        </w:tc>
        <w:tc>
          <w:tcPr>
            <w:tcW w:w="4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492"/>
              <w:spacing w:after="0"/>
              <w:rPr>
                <w:sz w:val="20"/>
                <w:szCs w:val="20"/>
                <w:color w:val="auto"/>
              </w:rPr>
            </w:pPr>
            <w:r>
              <w:rPr>
                <w:rFonts w:ascii="Arial" w:cs="Arial" w:eastAsia="Arial" w:hAnsi="Arial"/>
                <w:sz w:val="18"/>
                <w:szCs w:val="18"/>
                <w:color w:val="auto"/>
              </w:rPr>
              <w:t>(7,043)</w:t>
            </w:r>
          </w:p>
        </w:tc>
        <w:tc>
          <w:tcPr>
            <w:tcW w:w="10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23"/>
        </w:trPr>
        <w:tc>
          <w:tcPr>
            <w:tcW w:w="5340" w:type="dxa"/>
            <w:vAlign w:val="bottom"/>
          </w:tcPr>
          <w:p>
            <w:pPr>
              <w:ind w:left="180"/>
              <w:spacing w:after="0"/>
              <w:rPr>
                <w:sz w:val="20"/>
                <w:szCs w:val="20"/>
                <w:color w:val="auto"/>
              </w:rPr>
            </w:pPr>
            <w:r>
              <w:rPr>
                <w:rFonts w:ascii="Arial" w:cs="Arial" w:eastAsia="Arial" w:hAnsi="Arial"/>
                <w:sz w:val="18"/>
                <w:szCs w:val="18"/>
                <w:b w:val="1"/>
                <w:bCs w:val="1"/>
                <w:color w:val="auto"/>
              </w:rPr>
              <w:t>Operating Expenses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322,152</w:t>
            </w:r>
          </w:p>
        </w:tc>
        <w:tc>
          <w:tcPr>
            <w:tcW w:w="5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337,997</w:t>
            </w:r>
          </w:p>
        </w:tc>
        <w:tc>
          <w:tcPr>
            <w:tcW w:w="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color w:val="auto"/>
              </w:rPr>
              <w:t>(15,845)</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80" w:hanging="72"/>
        <w:spacing w:after="0"/>
        <w:tabs>
          <w:tab w:leader="none" w:pos="80" w:val="left"/>
        </w:tabs>
        <w:numPr>
          <w:ilvl w:val="0"/>
          <w:numId w:val="14"/>
        </w:numPr>
        <w:rPr>
          <w:rFonts w:ascii="Arial" w:cs="Arial" w:eastAsia="Arial" w:hAnsi="Arial"/>
          <w:sz w:val="9"/>
          <w:szCs w:val="9"/>
          <w:color w:val="auto"/>
        </w:rPr>
      </w:pPr>
      <w:r>
        <w:rPr>
          <w:rFonts w:ascii="Arial" w:cs="Arial" w:eastAsia="Arial" w:hAnsi="Arial"/>
          <w:sz w:val="14"/>
          <w:szCs w:val="14"/>
          <w:color w:val="auto"/>
        </w:rPr>
        <w:t>Personnel costs excludes stock-based compensation expense, which is reported separately in the operating expense table.</w:t>
      </w:r>
    </w:p>
    <w:p>
      <w:pPr>
        <w:spacing w:after="0" w:line="69" w:lineRule="exact"/>
        <w:rPr>
          <w:sz w:val="20"/>
          <w:szCs w:val="20"/>
          <w:color w:val="auto"/>
        </w:rPr>
      </w:pPr>
    </w:p>
    <w:p>
      <w:pPr>
        <w:ind w:right="60" w:firstLine="8"/>
        <w:spacing w:after="0" w:line="298" w:lineRule="auto"/>
        <w:tabs>
          <w:tab w:leader="none" w:pos="70" w:val="left"/>
        </w:tabs>
        <w:numPr>
          <w:ilvl w:val="0"/>
          <w:numId w:val="15"/>
        </w:numPr>
        <w:rPr>
          <w:rFonts w:ascii="Arial" w:cs="Arial" w:eastAsia="Arial" w:hAnsi="Arial"/>
          <w:sz w:val="16"/>
          <w:szCs w:val="16"/>
          <w:color w:val="auto"/>
          <w:vertAlign w:val="superscript"/>
        </w:rPr>
      </w:pPr>
      <w:r>
        <w:rPr>
          <w:rFonts w:ascii="Arial" w:cs="Arial" w:eastAsia="Arial" w:hAnsi="Arial"/>
          <w:sz w:val="12"/>
          <w:szCs w:val="12"/>
          <w:color w:val="auto"/>
        </w:rPr>
        <w:t>Sales acquisition expense includes vendor incentives and rebates to POS partners, external sales commissions, amortization of initial direct costs and amounts paid to various POS partners to be their exclusive provider of lease-to-own solutions.</w:t>
      </w:r>
    </w:p>
    <w:p>
      <w:pPr>
        <w:ind w:left="80" w:hanging="72"/>
        <w:spacing w:after="0" w:line="205" w:lineRule="auto"/>
        <w:tabs>
          <w:tab w:leader="none" w:pos="80" w:val="left"/>
        </w:tabs>
        <w:numPr>
          <w:ilvl w:val="0"/>
          <w:numId w:val="16"/>
        </w:numPr>
        <w:rPr>
          <w:rFonts w:ascii="Arial" w:cs="Arial" w:eastAsia="Arial" w:hAnsi="Arial"/>
          <w:sz w:val="19"/>
          <w:szCs w:val="19"/>
          <w:color w:val="auto"/>
          <w:vertAlign w:val="superscript"/>
        </w:rPr>
      </w:pPr>
      <w:r>
        <w:rPr>
          <w:rFonts w:ascii="Arial" w:cs="Arial" w:eastAsia="Arial" w:hAnsi="Arial"/>
          <w:sz w:val="14"/>
          <w:szCs w:val="14"/>
          <w:color w:val="auto"/>
        </w:rPr>
        <w:t>Computer software expense consists primarily of software subscription fees, licensing fees and non-capitalizable software implementation costs.</w:t>
      </w:r>
    </w:p>
    <w:p>
      <w:pPr>
        <w:spacing w:after="0" w:line="12" w:lineRule="exact"/>
        <w:rPr>
          <w:sz w:val="20"/>
          <w:szCs w:val="20"/>
          <w:color w:val="auto"/>
        </w:rPr>
      </w:pPr>
    </w:p>
    <w:p>
      <w:pPr>
        <w:ind w:left="80" w:hanging="72"/>
        <w:spacing w:after="0"/>
        <w:tabs>
          <w:tab w:leader="none" w:pos="80" w:val="left"/>
        </w:tabs>
        <w:numPr>
          <w:ilvl w:val="0"/>
          <w:numId w:val="17"/>
        </w:numPr>
        <w:rPr>
          <w:rFonts w:ascii="Arial" w:cs="Arial" w:eastAsia="Arial" w:hAnsi="Arial"/>
          <w:sz w:val="19"/>
          <w:szCs w:val="19"/>
          <w:color w:val="auto"/>
          <w:vertAlign w:val="superscript"/>
        </w:rPr>
      </w:pPr>
      <w:r>
        <w:rPr>
          <w:rFonts w:ascii="Arial" w:cs="Arial" w:eastAsia="Arial" w:hAnsi="Arial"/>
          <w:sz w:val="14"/>
          <w:szCs w:val="14"/>
          <w:color w:val="auto"/>
        </w:rPr>
        <w:t>Progressive Leasing's sales, general and administrative expense was $231.4 million and $243.1 million during the nine months ended September 30, 2023 and 2022, respectively.</w:t>
      </w:r>
    </w:p>
    <w:p>
      <w:pPr>
        <w:spacing w:after="0" w:line="146" w:lineRule="exact"/>
        <w:rPr>
          <w:sz w:val="20"/>
          <w:szCs w:val="20"/>
          <w:color w:val="auto"/>
        </w:rPr>
      </w:pPr>
    </w:p>
    <w:p>
      <w:pPr>
        <w:jc w:val="both"/>
        <w:ind w:right="160"/>
        <w:spacing w:after="0" w:line="279" w:lineRule="auto"/>
        <w:rPr>
          <w:sz w:val="20"/>
          <w:szCs w:val="20"/>
          <w:color w:val="auto"/>
        </w:rPr>
      </w:pPr>
      <w:r>
        <w:rPr>
          <w:rFonts w:ascii="Arial" w:cs="Arial" w:eastAsia="Arial" w:hAnsi="Arial"/>
          <w:sz w:val="17"/>
          <w:szCs w:val="17"/>
          <w:color w:val="auto"/>
        </w:rPr>
        <w:t>The decrease in personnel costs of $7.2 million was driven by a decrease of $9.4 million at Progressive Leasing attributable to its reduction in the number of employees during the second half of 2022 as part of its restructuring and cost cutting initiatives. Personnel costs attributable to Four and other strategic businesses also decreased by $0.1 million as compared to the same period in 2022. These decreases were partially offset by an increase of $2.1 million at Vive primarily due to increased salaries and wages for new and existing employees.</w:t>
      </w:r>
    </w:p>
    <w:p>
      <w:pPr>
        <w:spacing w:after="0" w:line="50"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Stock-based compensation increased $5.2 million compared to 2022, consisting of increases of $3.6 million at Progressive Leasing, $1.0 million at Four and other strategic businesses, and $0.6 million at Vive. The lower stock-based compensation in 2022 was the result of: (i) the Company determining in the second quarter of 2022 that performance stock units that had been granted to Four executives were no longer probable of being earned resulting in lower expense in 2022 compared to 2023; (ii) the reversal of the stock-based compensation expense for performance stock units granted in 2022 that were tied to the performance of Progressive Leasing, based upon the Company's determination that those performance units were no longer probable of being earned; and (iii) other stock-based forfeitures related to the Progressive Leasing restructuring program. During 2023, the estimated payout of performance stock units granted in 2023 was increased based on revisions to the Company's forecasted results, further increasing the stock-based compensation expense during the nine months ended September 30, 2023.</w:t>
      </w:r>
    </w:p>
    <w:p>
      <w:pPr>
        <w:spacing w:after="0" w:line="5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242424"/>
        </w:rPr>
        <w:t xml:space="preserve">Restructuring expense decreased $7.0 million primarily due to a decline in restructuring activities during the </w:t>
      </w:r>
      <w:r>
        <w:rPr>
          <w:rFonts w:ascii="Arial" w:cs="Arial" w:eastAsia="Arial" w:hAnsi="Arial"/>
          <w:sz w:val="18"/>
          <w:szCs w:val="18"/>
          <w:color w:val="000000"/>
        </w:rPr>
        <w:t>nine months ended September 30, 2023</w:t>
      </w:r>
      <w:r>
        <w:rPr>
          <w:rFonts w:ascii="Arial" w:cs="Arial" w:eastAsia="Arial" w:hAnsi="Arial"/>
          <w:sz w:val="18"/>
          <w:szCs w:val="18"/>
          <w:color w:val="242424"/>
        </w:rPr>
        <w:t xml:space="preserve"> compared to the same period in </w:t>
      </w:r>
      <w:r>
        <w:rPr>
          <w:rFonts w:ascii="Arial" w:cs="Arial" w:eastAsia="Arial" w:hAnsi="Arial"/>
          <w:sz w:val="18"/>
          <w:szCs w:val="18"/>
          <w:color w:val="000000"/>
        </w:rPr>
        <w:t>2022. For the nine months ended September 30, 2023, restructuring costs were primarily related to employee severance</w:t>
      </w:r>
      <w:r>
        <w:rPr>
          <w:rFonts w:ascii="Arial" w:cs="Arial" w:eastAsia="Arial" w:hAnsi="Arial"/>
          <w:sz w:val="18"/>
          <w:szCs w:val="18"/>
          <w:color w:val="242424"/>
        </w:rPr>
        <w:t xml:space="preserve"> </w:t>
      </w:r>
      <w:r>
        <w:rPr>
          <w:rFonts w:ascii="Arial" w:cs="Arial" w:eastAsia="Arial" w:hAnsi="Arial"/>
          <w:sz w:val="18"/>
          <w:szCs w:val="18"/>
          <w:color w:val="000000"/>
        </w:rPr>
        <w:t>within Progressive Leasing. For the same period in 2022, restructuring costs included a higher amount of employee severance within Progressive Leasing, in addition to operating lease right-of-use asset impairment charges related to the relocation of the Vive corporate headquarters and a reduction of Progressive Leasing call center office space.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Other Costs and Expenses</w:t>
      </w:r>
    </w:p>
    <w:p>
      <w:pPr>
        <w:spacing w:after="0" w:line="104"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i w:val="1"/>
          <w:iCs w:val="1"/>
          <w:color w:val="auto"/>
        </w:rPr>
        <w:t xml:space="preserve">Depreciation of lease merchandise. </w:t>
      </w:r>
      <w:r>
        <w:rPr>
          <w:rFonts w:ascii="Arial" w:cs="Arial" w:eastAsia="Arial" w:hAnsi="Arial"/>
          <w:sz w:val="16"/>
          <w:szCs w:val="16"/>
          <w:color w:val="auto"/>
        </w:rPr>
        <w:t>Depreciation of lease merchandise decreased by 11.5% during the nine months ended September 30, 2023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the same period in 2022. The decrease was primarily due to a reduction in the size of Progressive Leasing's lease portfolio, resulting from tightening of its decisioning in mid-2022 and decreased consumer demand for many of the leasable products offered by Progressive Leasing's retail partners. As a percentage of total lease revenues and fees, depreciation of lease merchandise decreased to 67.7% from 70.4% in the prior year period, primarily due to improved customer payment activity and lower early buyouts in the nine months ended September 30, 2023 as compared to the same period in 2022.</w:t>
      </w:r>
    </w:p>
    <w:p>
      <w:pPr>
        <w:spacing w:after="0" w:line="26"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i w:val="1"/>
          <w:iCs w:val="1"/>
          <w:color w:val="auto"/>
        </w:rPr>
        <w:t>Provision for lease merchandise write-offs</w:t>
      </w:r>
      <w:r>
        <w:rPr>
          <w:rFonts w:ascii="Arial" w:cs="Arial" w:eastAsia="Arial" w:hAnsi="Arial"/>
          <w:sz w:val="17"/>
          <w:szCs w:val="17"/>
          <w:color w:val="auto"/>
        </w:rPr>
        <w:t>. The provision for lease merchandise write-offs decreased $39.4 million due to a reduction in the size of</w:t>
      </w:r>
      <w:r>
        <w:rPr>
          <w:rFonts w:ascii="Arial" w:cs="Arial" w:eastAsia="Arial" w:hAnsi="Arial"/>
          <w:sz w:val="17"/>
          <w:szCs w:val="17"/>
          <w:i w:val="1"/>
          <w:iCs w:val="1"/>
          <w:color w:val="auto"/>
        </w:rPr>
        <w:t xml:space="preserve"> </w:t>
      </w:r>
      <w:r>
        <w:rPr>
          <w:rFonts w:ascii="Arial" w:cs="Arial" w:eastAsia="Arial" w:hAnsi="Arial"/>
          <w:sz w:val="17"/>
          <w:szCs w:val="17"/>
          <w:color w:val="auto"/>
        </w:rPr>
        <w:t>Progressive Leasing's lease portfolio during the nine months ended September 30, 2023, compared to the same period in 2022. The provision for lease merchandise write-offs as a percentage of lease revenues decreased to 6.5% during the nine months ended September 30, 2023 from 8.1% in the same period in 2022. The decrease in the provision was a result of improved customer payment activity and lower write-offs due to the Company tightening its lease decisioning in mid-2022. Given the significant economic uncertainty resulting from the rate of the increase in inflation, rising interest rates, the resumption of student loan payments in October 2023, and the potential effects of such developments on Progressive Leasing's POS partners, customers, and business going forward, a high level of estimation was involved in determining the allowance as of September 30, 2023. Actual lease merchandise write-offs could differ materially from the allowance for those write-offs.</w:t>
      </w:r>
    </w:p>
    <w:p>
      <w:pPr>
        <w:spacing w:after="0" w:line="5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i w:val="1"/>
          <w:iCs w:val="1"/>
          <w:color w:val="auto"/>
        </w:rPr>
        <w:t xml:space="preserve">Impairment of Goodwill. </w:t>
      </w:r>
      <w:r>
        <w:rPr>
          <w:rFonts w:ascii="Arial" w:cs="Arial" w:eastAsia="Arial" w:hAnsi="Arial"/>
          <w:sz w:val="18"/>
          <w:szCs w:val="18"/>
          <w:color w:val="auto"/>
        </w:rPr>
        <w:t>The Company recorded a loss of $10.2 million to partially write-off the goodwill balance of the Four reporting unit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nine months ended September 30, 2022.</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Interest expense, net. </w:t>
      </w:r>
      <w:r>
        <w:rPr>
          <w:rFonts w:ascii="Arial" w:cs="Arial" w:eastAsia="Arial" w:hAnsi="Arial"/>
          <w:sz w:val="18"/>
          <w:szCs w:val="18"/>
          <w:color w:val="auto"/>
        </w:rPr>
        <w:t>Information about interest expense and interest income is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0" w:type="dxa"/>
            <w:vAlign w:val="bottom"/>
            <w:gridSpan w:val="3"/>
          </w:tcPr>
          <w:p>
            <w:pPr>
              <w:ind w:left="500"/>
              <w:spacing w:after="0"/>
              <w:rPr>
                <w:sz w:val="20"/>
                <w:szCs w:val="20"/>
                <w:color w:val="auto"/>
              </w:rPr>
            </w:pPr>
            <w:r>
              <w:rPr>
                <w:rFonts w:ascii="Arial" w:cs="Arial" w:eastAsia="Arial" w:hAnsi="Arial"/>
                <w:sz w:val="14"/>
                <w:szCs w:val="14"/>
                <w:b w:val="1"/>
                <w:bCs w:val="1"/>
                <w:color w:val="auto"/>
              </w:rPr>
              <w:t>Nine Months Ended</w:t>
            </w:r>
          </w:p>
        </w:tc>
        <w:tc>
          <w:tcPr>
            <w:tcW w:w="420" w:type="dxa"/>
            <w:vAlign w:val="bottom"/>
          </w:tcPr>
          <w:p>
            <w:pPr>
              <w:spacing w:after="0"/>
              <w:rPr>
                <w:sz w:val="14"/>
                <w:szCs w:val="14"/>
                <w:color w:val="auto"/>
              </w:rPr>
            </w:pPr>
          </w:p>
        </w:tc>
        <w:tc>
          <w:tcPr>
            <w:tcW w:w="1500" w:type="dxa"/>
            <w:vAlign w:val="bottom"/>
            <w:vMerge w:val="restart"/>
          </w:tcPr>
          <w:p>
            <w:pPr>
              <w:jc w:val="right"/>
              <w:ind w:right="117"/>
              <w:spacing w:after="0"/>
              <w:rPr>
                <w:sz w:val="20"/>
                <w:szCs w:val="20"/>
                <w:color w:val="auto"/>
              </w:rPr>
            </w:pPr>
            <w:r>
              <w:rPr>
                <w:rFonts w:ascii="Arial" w:cs="Arial" w:eastAsia="Arial" w:hAnsi="Arial"/>
                <w:sz w:val="14"/>
                <w:szCs w:val="14"/>
                <w:b w:val="1"/>
                <w:bCs w:val="1"/>
                <w:color w:val="auto"/>
              </w:rPr>
              <w:t>Change</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3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2"/>
          </w:tcPr>
          <w:p>
            <w:pPr>
              <w:ind w:left="680"/>
              <w:spacing w:after="0"/>
              <w:rPr>
                <w:sz w:val="20"/>
                <w:szCs w:val="20"/>
                <w:color w:val="auto"/>
              </w:rPr>
            </w:pPr>
            <w:r>
              <w:rPr>
                <w:rFonts w:ascii="Arial" w:cs="Arial" w:eastAsia="Arial" w:hAnsi="Arial"/>
                <w:sz w:val="14"/>
                <w:szCs w:val="14"/>
                <w:b w:val="1"/>
                <w:bCs w:val="1"/>
                <w:color w:val="auto"/>
                <w:w w:val="98"/>
              </w:rPr>
              <w:t>September 30,</w:t>
            </w:r>
          </w:p>
        </w:tc>
        <w:tc>
          <w:tcPr>
            <w:tcW w:w="9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vMerge w:val="continue"/>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1097"/>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Interest Expense,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ind w:left="500"/>
              <w:spacing w:after="0"/>
              <w:rPr>
                <w:sz w:val="20"/>
                <w:szCs w:val="20"/>
                <w:color w:val="auto"/>
              </w:rPr>
            </w:pPr>
            <w:r>
              <w:rPr>
                <w:rFonts w:ascii="Arial" w:cs="Arial" w:eastAsia="Arial" w:hAnsi="Arial"/>
                <w:sz w:val="18"/>
                <w:szCs w:val="18"/>
                <w:color w:val="auto"/>
              </w:rPr>
              <w:t>29,032</w:t>
            </w:r>
          </w:p>
        </w:tc>
        <w:tc>
          <w:tcPr>
            <w:tcW w:w="5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28,972</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537"/>
              <w:spacing w:after="0"/>
              <w:rPr>
                <w:sz w:val="20"/>
                <w:szCs w:val="20"/>
                <w:color w:val="auto"/>
              </w:rPr>
            </w:pPr>
            <w:r>
              <w:rPr>
                <w:rFonts w:ascii="Arial" w:cs="Arial" w:eastAsia="Arial" w:hAnsi="Arial"/>
                <w:sz w:val="18"/>
                <w:szCs w:val="18"/>
                <w:color w:val="auto"/>
              </w:rPr>
              <w:t>60</w:t>
            </w:r>
          </w:p>
        </w:tc>
        <w:tc>
          <w:tcPr>
            <w:tcW w:w="1000" w:type="dxa"/>
            <w:vAlign w:val="bottom"/>
          </w:tcPr>
          <w:p>
            <w:pPr>
              <w:jc w:val="right"/>
              <w:spacing w:after="0"/>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229"/>
        </w:trPr>
        <w:tc>
          <w:tcPr>
            <w:tcW w:w="5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Income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98"/>
              </w:rPr>
              <w:t>(6,483)</w:t>
            </w:r>
          </w:p>
        </w:tc>
        <w:tc>
          <w:tcPr>
            <w:tcW w:w="5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4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497"/>
              <w:spacing w:after="0"/>
              <w:rPr>
                <w:sz w:val="20"/>
                <w:szCs w:val="20"/>
                <w:color w:val="auto"/>
              </w:rPr>
            </w:pPr>
            <w:r>
              <w:rPr>
                <w:rFonts w:ascii="Arial" w:cs="Arial" w:eastAsia="Arial" w:hAnsi="Arial"/>
                <w:sz w:val="18"/>
                <w:szCs w:val="18"/>
                <w:color w:val="auto"/>
              </w:rPr>
              <w:t>(6,211)</w:t>
            </w:r>
          </w:p>
        </w:tc>
        <w:tc>
          <w:tcPr>
            <w:tcW w:w="100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nmf</w:t>
            </w:r>
          </w:p>
        </w:tc>
        <w:tc>
          <w:tcPr>
            <w:tcW w:w="0" w:type="dxa"/>
            <w:vAlign w:val="bottom"/>
          </w:tcPr>
          <w:p>
            <w:pPr>
              <w:spacing w:after="0"/>
              <w:rPr>
                <w:sz w:val="1"/>
                <w:szCs w:val="1"/>
                <w:color w:val="auto"/>
              </w:rPr>
            </w:pPr>
          </w:p>
        </w:tc>
      </w:tr>
      <w:tr>
        <w:trPr>
          <w:trHeight w:val="223"/>
        </w:trPr>
        <w:tc>
          <w:tcPr>
            <w:tcW w:w="5380" w:type="dxa"/>
            <w:vAlign w:val="bottom"/>
          </w:tcPr>
          <w:p>
            <w:pPr>
              <w:ind w:left="20"/>
              <w:spacing w:after="0"/>
              <w:rPr>
                <w:sz w:val="20"/>
                <w:szCs w:val="20"/>
                <w:color w:val="auto"/>
              </w:rPr>
            </w:pPr>
            <w:r>
              <w:rPr>
                <w:rFonts w:ascii="Arial" w:cs="Arial" w:eastAsia="Arial" w:hAnsi="Arial"/>
                <w:sz w:val="18"/>
                <w:szCs w:val="18"/>
                <w:color w:val="auto"/>
              </w:rPr>
              <w:t>Total Interest Expense, Net</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22,549</w:t>
            </w:r>
          </w:p>
        </w:tc>
        <w:tc>
          <w:tcPr>
            <w:tcW w:w="5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28,700</w:t>
            </w:r>
          </w:p>
        </w:tc>
        <w:tc>
          <w:tcPr>
            <w:tcW w:w="4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ind w:right="497"/>
              <w:spacing w:after="0"/>
              <w:rPr>
                <w:sz w:val="20"/>
                <w:szCs w:val="20"/>
                <w:color w:val="auto"/>
              </w:rPr>
            </w:pPr>
            <w:r>
              <w:rPr>
                <w:rFonts w:ascii="Arial" w:cs="Arial" w:eastAsia="Arial" w:hAnsi="Arial"/>
                <w:sz w:val="18"/>
                <w:szCs w:val="18"/>
                <w:color w:val="auto"/>
              </w:rPr>
              <w:t>(6,151)</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nmf - Calculation is not meaningful</w:t>
      </w:r>
    </w:p>
    <w:p>
      <w:pPr>
        <w:spacing w:after="0" w:line="181"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Interest expense, net decreased $6.2 million due to interest income earned on the Company's deposits in cash and cash equivalents resulting from an increase in deposits in higher yield accounts. The Company earned interest income of $6.5 million during the three months ended September 30, 2023 compared to $0.3 million during the same period in 2022.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Before Income Tax Expense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our earnings before income tax expense by reportable segment is as follows:</w:t>
      </w:r>
    </w:p>
    <w:p>
      <w:pPr>
        <w:spacing w:after="0" w:line="18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20" w:type="dxa"/>
            <w:vAlign w:val="bottom"/>
            <w:gridSpan w:val="3"/>
          </w:tcPr>
          <w:p>
            <w:pPr>
              <w:jc w:val="right"/>
              <w:ind w:right="794"/>
              <w:spacing w:after="0"/>
              <w:rPr>
                <w:sz w:val="20"/>
                <w:szCs w:val="20"/>
                <w:color w:val="auto"/>
              </w:rPr>
            </w:pPr>
            <w:r>
              <w:rPr>
                <w:rFonts w:ascii="Arial" w:cs="Arial" w:eastAsia="Arial" w:hAnsi="Arial"/>
                <w:sz w:val="14"/>
                <w:szCs w:val="14"/>
                <w:b w:val="1"/>
                <w:bCs w:val="1"/>
                <w:color w:val="auto"/>
              </w:rPr>
              <w:t>Nine Months Ended</w:t>
            </w:r>
          </w:p>
        </w:tc>
        <w:tc>
          <w:tcPr>
            <w:tcW w:w="420" w:type="dxa"/>
            <w:vAlign w:val="bottom"/>
          </w:tcPr>
          <w:p>
            <w:pPr>
              <w:spacing w:after="0"/>
              <w:rPr>
                <w:sz w:val="14"/>
                <w:szCs w:val="14"/>
                <w:color w:val="auto"/>
              </w:rPr>
            </w:pPr>
          </w:p>
        </w:tc>
        <w:tc>
          <w:tcPr>
            <w:tcW w:w="1500" w:type="dxa"/>
            <w:vAlign w:val="bottom"/>
            <w:vMerge w:val="restart"/>
          </w:tcPr>
          <w:p>
            <w:pPr>
              <w:ind w:left="820"/>
              <w:spacing w:after="0"/>
              <w:rPr>
                <w:sz w:val="20"/>
                <w:szCs w:val="20"/>
                <w:color w:val="auto"/>
              </w:rPr>
            </w:pPr>
            <w:r>
              <w:rPr>
                <w:rFonts w:ascii="Arial" w:cs="Arial" w:eastAsia="Arial" w:hAnsi="Arial"/>
                <w:sz w:val="14"/>
                <w:szCs w:val="14"/>
                <w:b w:val="1"/>
                <w:bCs w:val="1"/>
                <w:color w:val="auto"/>
              </w:rPr>
              <w:t>Change</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3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vMerge w:val="continue"/>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EARNINGS BEFORE INCOME TAX EXPENSE: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tcPr>
          <w:p>
            <w:pPr>
              <w:ind w:left="20"/>
              <w:spacing w:after="0"/>
              <w:rPr>
                <w:sz w:val="20"/>
                <w:szCs w:val="20"/>
                <w:color w:val="auto"/>
              </w:rPr>
            </w:pPr>
            <w:r>
              <w:rPr>
                <w:rFonts w:ascii="Arial" w:cs="Arial" w:eastAsia="Arial" w:hAnsi="Arial"/>
                <w:sz w:val="18"/>
                <w:szCs w:val="18"/>
                <w:color w:val="auto"/>
              </w:rPr>
              <w:t>Progressive Leasing</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8"/>
              <w:spacing w:after="0"/>
              <w:rPr>
                <w:sz w:val="20"/>
                <w:szCs w:val="20"/>
                <w:color w:val="auto"/>
              </w:rPr>
            </w:pPr>
            <w:r>
              <w:rPr>
                <w:rFonts w:ascii="Arial" w:cs="Arial" w:eastAsia="Arial" w:hAnsi="Arial"/>
                <w:sz w:val="18"/>
                <w:szCs w:val="18"/>
                <w:color w:val="auto"/>
              </w:rPr>
              <w:t>180,414</w:t>
            </w:r>
          </w:p>
        </w:tc>
        <w:tc>
          <w:tcPr>
            <w:tcW w:w="5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112,956</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500" w:type="dxa"/>
            <w:vAlign w:val="bottom"/>
          </w:tcPr>
          <w:p>
            <w:pPr>
              <w:ind w:left="380"/>
              <w:spacing w:after="0"/>
              <w:rPr>
                <w:sz w:val="20"/>
                <w:szCs w:val="20"/>
                <w:color w:val="auto"/>
              </w:rPr>
            </w:pPr>
            <w:r>
              <w:rPr>
                <w:rFonts w:ascii="Arial" w:cs="Arial" w:eastAsia="Arial" w:hAnsi="Arial"/>
                <w:sz w:val="18"/>
                <w:szCs w:val="18"/>
                <w:color w:val="auto"/>
              </w:rPr>
              <w:t>67,458</w:t>
            </w:r>
          </w:p>
        </w:tc>
        <w:tc>
          <w:tcPr>
            <w:tcW w:w="980" w:type="dxa"/>
            <w:vAlign w:val="bottom"/>
          </w:tcPr>
          <w:p>
            <w:pPr>
              <w:jc w:val="right"/>
              <w:spacing w:after="0"/>
              <w:rPr>
                <w:sz w:val="20"/>
                <w:szCs w:val="20"/>
                <w:color w:val="auto"/>
              </w:rPr>
            </w:pPr>
            <w:r>
              <w:rPr>
                <w:rFonts w:ascii="Arial" w:cs="Arial" w:eastAsia="Arial" w:hAnsi="Arial"/>
                <w:sz w:val="18"/>
                <w:szCs w:val="18"/>
                <w:color w:val="auto"/>
              </w:rPr>
              <w:t>59.7 %</w:t>
            </w: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Vive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4,486</w:t>
            </w: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9,154</w:t>
            </w:r>
          </w:p>
        </w:tc>
        <w:tc>
          <w:tcPr>
            <w:tcW w:w="420" w:type="dxa"/>
            <w:vAlign w:val="bottom"/>
            <w:shd w:val="clear" w:color="auto" w:fill="CCEEFF"/>
          </w:tcPr>
          <w:p>
            <w:pPr>
              <w:spacing w:after="0"/>
              <w:rPr>
                <w:sz w:val="19"/>
                <w:szCs w:val="19"/>
                <w:color w:val="auto"/>
              </w:rPr>
            </w:pPr>
          </w:p>
        </w:tc>
        <w:tc>
          <w:tcPr>
            <w:tcW w:w="15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(4,668)</w:t>
            </w:r>
          </w:p>
        </w:tc>
        <w:tc>
          <w:tcPr>
            <w:tcW w:w="9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30"/>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(17,190)</w:t>
            </w: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(27,597)</w:t>
            </w:r>
          </w:p>
        </w:tc>
        <w:tc>
          <w:tcPr>
            <w:tcW w:w="4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10,407</w:t>
            </w:r>
          </w:p>
        </w:tc>
        <w:tc>
          <w:tcPr>
            <w:tcW w:w="9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48"/>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Earnings Before Income Tax Expense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167,710</w:t>
            </w:r>
          </w:p>
        </w:tc>
        <w:tc>
          <w:tcPr>
            <w:tcW w:w="5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94,513</w:t>
            </w:r>
          </w:p>
        </w:tc>
        <w:tc>
          <w:tcPr>
            <w:tcW w:w="4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73,197</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77.4 %</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loss before income tax expense within Other primarily relates to our Four operations. Factors impacting the change in earnings before income tax expense for each reporting segment are discussed above.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0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Income tax expense increased to $47.4 million for the nine months ended September 30, 2023 compared to $31.9 million in the prior year comparable period due to higher earnings before income tax expense compared to the same period in the prior year, partially offset by the non-deductible goodwill impairment loss recognized for Four in the third quarter of 2022. The effective tax rate was 28.3% during the nine months ended September 30, 2023 compared to 33.7% in the same period in 2022. The decrease in the effective tax rate was primarily driven by the non-deductible goodwill impairment loss for Four of $10.2 million that occurred in 2022, and a favorable change in the discrete income tax expense recognized for stock-based compensation in 2023.</w:t>
      </w:r>
    </w:p>
    <w:p>
      <w:pPr>
        <w:spacing w:after="0" w:line="200" w:lineRule="exact"/>
        <w:rPr>
          <w:sz w:val="20"/>
          <w:szCs w:val="20"/>
          <w:color w:val="auto"/>
        </w:rPr>
      </w:pPr>
    </w:p>
    <w:p>
      <w:pPr>
        <w:spacing w:after="0" w:line="3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57" w:right="4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Overview of Financial Position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major changes in the condensed consolidated balance sheet from December 31, 2022 to September 30, 2023 include:</w:t>
      </w:r>
    </w:p>
    <w:p>
      <w:pPr>
        <w:spacing w:after="0" w:line="90" w:lineRule="exact"/>
        <w:rPr>
          <w:sz w:val="20"/>
          <w:szCs w:val="20"/>
          <w:color w:val="auto"/>
        </w:rPr>
      </w:pPr>
    </w:p>
    <w:p>
      <w:pPr>
        <w:ind w:left="660" w:right="760" w:hanging="328"/>
        <w:spacing w:after="0" w:line="277" w:lineRule="auto"/>
        <w:tabs>
          <w:tab w:leader="none" w:pos="655" w:val="left"/>
        </w:tabs>
        <w:numPr>
          <w:ilvl w:val="0"/>
          <w:numId w:val="18"/>
        </w:numPr>
        <w:rPr>
          <w:rFonts w:ascii="Arial" w:cs="Arial" w:eastAsia="Arial" w:hAnsi="Arial"/>
          <w:sz w:val="18"/>
          <w:szCs w:val="18"/>
          <w:b w:val="1"/>
          <w:bCs w:val="1"/>
          <w:i w:val="1"/>
          <w:iCs w:val="1"/>
          <w:color w:val="242424"/>
        </w:rPr>
      </w:pPr>
      <w:r>
        <w:rPr>
          <w:rFonts w:ascii="Arial" w:cs="Arial" w:eastAsia="Arial" w:hAnsi="Arial"/>
          <w:sz w:val="18"/>
          <w:szCs w:val="18"/>
          <w:color w:val="auto"/>
        </w:rPr>
        <w:t>Cash and cash equivalents increased $162.9 million to $294.8 million during the nine months ended September 30, 2023. For additional information, refer to the "Liquidity and Capital Resources" section below.</w:t>
      </w:r>
    </w:p>
    <w:p>
      <w:pPr>
        <w:spacing w:after="0" w:line="48" w:lineRule="exact"/>
        <w:rPr>
          <w:rFonts w:ascii="Arial" w:cs="Arial" w:eastAsia="Arial" w:hAnsi="Arial"/>
          <w:sz w:val="18"/>
          <w:szCs w:val="18"/>
          <w:b w:val="1"/>
          <w:bCs w:val="1"/>
          <w:i w:val="1"/>
          <w:iCs w:val="1"/>
          <w:color w:val="242424"/>
        </w:rPr>
      </w:pPr>
    </w:p>
    <w:p>
      <w:pPr>
        <w:ind w:left="660" w:right="160" w:hanging="328"/>
        <w:spacing w:after="0" w:line="277" w:lineRule="auto"/>
        <w:tabs>
          <w:tab w:leader="none" w:pos="655" w:val="left"/>
        </w:tabs>
        <w:numPr>
          <w:ilvl w:val="0"/>
          <w:numId w:val="18"/>
        </w:numPr>
        <w:rPr>
          <w:rFonts w:ascii="Arial" w:cs="Arial" w:eastAsia="Arial" w:hAnsi="Arial"/>
          <w:sz w:val="18"/>
          <w:szCs w:val="18"/>
          <w:b w:val="1"/>
          <w:bCs w:val="1"/>
          <w:i w:val="1"/>
          <w:iCs w:val="1"/>
          <w:color w:val="242424"/>
        </w:rPr>
      </w:pPr>
      <w:r>
        <w:rPr>
          <w:rFonts w:ascii="Arial" w:cs="Arial" w:eastAsia="Arial" w:hAnsi="Arial"/>
          <w:sz w:val="18"/>
          <w:szCs w:val="18"/>
          <w:color w:val="auto"/>
        </w:rPr>
        <w:t>Lease merchandise, net of accumulated depreciation and allowances, decreased $126.8 million due primarily to a 24.4% decrease in Progressive Leasing's GMV for the third quarter of 2023 as compared to the fourth quarter of 2022.</w:t>
      </w:r>
    </w:p>
    <w:p>
      <w:pPr>
        <w:spacing w:after="0" w:line="48" w:lineRule="exact"/>
        <w:rPr>
          <w:rFonts w:ascii="Arial" w:cs="Arial" w:eastAsia="Arial" w:hAnsi="Arial"/>
          <w:sz w:val="18"/>
          <w:szCs w:val="18"/>
          <w:b w:val="1"/>
          <w:bCs w:val="1"/>
          <w:i w:val="1"/>
          <w:iCs w:val="1"/>
          <w:color w:val="242424"/>
        </w:rPr>
      </w:pPr>
    </w:p>
    <w:p>
      <w:pPr>
        <w:ind w:left="660" w:hanging="328"/>
        <w:spacing w:after="0" w:line="263" w:lineRule="auto"/>
        <w:tabs>
          <w:tab w:leader="none" w:pos="655" w:val="left"/>
        </w:tabs>
        <w:numPr>
          <w:ilvl w:val="0"/>
          <w:numId w:val="18"/>
        </w:numPr>
        <w:rPr>
          <w:rFonts w:ascii="Arial" w:cs="Arial" w:eastAsia="Arial" w:hAnsi="Arial"/>
          <w:sz w:val="18"/>
          <w:szCs w:val="18"/>
          <w:b w:val="1"/>
          <w:bCs w:val="1"/>
          <w:i w:val="1"/>
          <w:iCs w:val="1"/>
          <w:color w:val="242424"/>
        </w:rPr>
      </w:pPr>
      <w:r>
        <w:rPr>
          <w:rFonts w:ascii="Arial" w:cs="Arial" w:eastAsia="Arial" w:hAnsi="Arial"/>
          <w:sz w:val="18"/>
          <w:szCs w:val="18"/>
          <w:color w:val="auto"/>
        </w:rPr>
        <w:t>Deferred tax liability decreased $32.4 million due primarily to a decline in the temporary book-to-tax depreciation difference of lease merchandise resulting from the decline in merchandise on lease as of the third quarter of 2023, as compared to the fourth quarter of 2022, and the reduction of federal bonus depreciation from 100% in 2022 to 80% in 2023.</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33" w:name="page34"/>
    <w:bookmarkEnd w:id="33"/>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We expect that our primary capital requirements will consist of:</w:t>
      </w:r>
    </w:p>
    <w:p>
      <w:pPr>
        <w:spacing w:after="0" w:line="90" w:lineRule="exact"/>
        <w:rPr>
          <w:sz w:val="20"/>
          <w:szCs w:val="20"/>
          <w:color w:val="auto"/>
        </w:rPr>
      </w:pPr>
    </w:p>
    <w:p>
      <w:pPr>
        <w:ind w:left="660" w:right="320" w:hanging="328"/>
        <w:spacing w:after="0" w:line="342" w:lineRule="auto"/>
        <w:tabs>
          <w:tab w:leader="none" w:pos="655"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Reinvesting in our business, including buying merchandise for the operations of Progressive Leasing. Because we believe Progressive Leasing will continue to grow over the long-term, we expect that the need for additional lease merchandise will remain a major capital requirement;</w:t>
      </w:r>
    </w:p>
    <w:p>
      <w:pPr>
        <w:spacing w:after="0" w:line="2" w:lineRule="exact"/>
        <w:rPr>
          <w:rFonts w:ascii="Arial" w:cs="Arial" w:eastAsia="Arial" w:hAnsi="Arial"/>
          <w:sz w:val="16"/>
          <w:szCs w:val="16"/>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Making merger and acquisition investment(s) to further broaden our product offerings;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Returning excess cash to shareholders through periodically repurchasing stock.</w:t>
      </w:r>
    </w:p>
    <w:p>
      <w:pPr>
        <w:spacing w:after="0" w:line="90"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Other capital requirements include (i) expenditures related to software development; (ii) expenditures related to our corporate operating activities; (iii) personnel expenditures; (iv) income tax payments; (v) funding of loans receivable for Vive; and (vi) servicing our outstanding debt obligations.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Our capital requirements have been financed through:</w:t>
      </w:r>
    </w:p>
    <w:p>
      <w:pPr>
        <w:spacing w:after="0" w:line="104"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cash flows from operations;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private debt offerings;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bank debt;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stock offerings.</w:t>
      </w:r>
    </w:p>
    <w:p>
      <w:pPr>
        <w:spacing w:after="0" w:line="9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As of September 30, 2023, the Company had $294.8 million of cash, $350.0 million of availability under the Revolving Facility, and $600.0 million of indebtedness.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Provided by Operating Activities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Cash provided by operating activities was $292.5 million and $283.2 million during the nine months ended September 30, 2023 and 2022, respectively.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$9.3 million increase in operating cash flows was primarily driven by a $174.3 million decrease in purchases of lease merchandise compared to the same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period in 2022, changes in certain working capital accounts, and an increase in interest income resulting from an increase in deposits in higher yield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accounts. These increases to cash inflows were partially offset by a $154.7 million decrease in lease revenue resulting from a lower lease portfolio and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$45.7 million increase in cash paid for income taxes. Other changes in cash provided by operating activities are discussed above in our discussion of results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 the nine months ended September 30, 2023.</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Investing Activities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Cash used in investing activities was $18.8 million and $39.9 million during the nine months ended September 30, 2023 and 2022, respectively. The</w:t>
      </w:r>
    </w:p>
    <w:p>
      <w:pPr>
        <w:spacing w:after="0" w:line="35" w:lineRule="exact"/>
        <w:rPr>
          <w:sz w:val="20"/>
          <w:szCs w:val="20"/>
          <w:color w:val="auto"/>
        </w:rPr>
      </w:pPr>
    </w:p>
    <w:p>
      <w:pPr>
        <w:ind w:right="360"/>
        <w:spacing w:after="0" w:line="260" w:lineRule="auto"/>
        <w:rPr>
          <w:sz w:val="20"/>
          <w:szCs w:val="20"/>
          <w:color w:val="auto"/>
        </w:rPr>
      </w:pPr>
      <w:r>
        <w:rPr>
          <w:rFonts w:ascii="Arial" w:cs="Arial" w:eastAsia="Arial" w:hAnsi="Arial"/>
          <w:sz w:val="18"/>
          <w:szCs w:val="18"/>
          <w:color w:val="auto"/>
        </w:rPr>
        <w:t>$21.1 million decrease in investing cash outflows was primarily the result of a $11.9 million increase in proceeds from loans receivable in addition to a $8.8 million decrease in cash outflows for investments in loans receivable.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Financing Activities</w:t>
      </w:r>
    </w:p>
    <w:p>
      <w:pPr>
        <w:spacing w:after="0" w:line="9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Cash used in financing activities was $110.9 million during the nine months ended September 30, 2023 compared to $191.5 million during the same period in 2022. Cash used in financing activities in the nine months ended September 30, 2023 was primarily for the Company's repurchase of $108.3 million of its common stock, compared to $187.4 million of share repurchases in the same period in the prior year.</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10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purchase our stock in the market from time to time as authorized by our Board of Directors. On November 3, 2021, the Company announced that its Board of Directors had authorized a new $1 billion share repurchase program that replaced the previous $300 million repurchase program. The Company repurchased 3,587,361 shares for $108.3 million during the nine months ended September 30, 2023. That amount does not include any excise tax that may be assessed on those repurchases. As of September 30, 2023, we had the authority to purchase additional shares up to our remaining authorization limit of $229.0 million.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Financing</w:t>
      </w:r>
    </w:p>
    <w:p>
      <w:pPr>
        <w:spacing w:after="0" w:line="90"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On November 24, 2020, the Company entered into a credit agreement with a consortium of lenders providing for a $350.0 million senior revolving credit facility, under which revolving borrowings became available on the date of the completion of the separation and distribution transaction pursuant to which our former Aaron's Business segment was spun-off into a separate publicly-traded company, and under which all borrowings and commitments will mature or terminate on November 24, 2025.</w:t>
      </w:r>
    </w:p>
    <w:p>
      <w:pPr>
        <w:spacing w:after="0" w:line="6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of September 30, 2023, the Company had no outstanding balance and $350.0 million remaining available for borrowings on the Revolving Facility. The Revolving Facility includes an uncommitted incremental facility increase option ("Incremental Facilities") which, subject to certain terms and conditions, permits the Company at any time prior to the maturity date to request an increase in extensions of credit available thereunder by an aggregate additional principal amount of up to $300.0 million.</w:t>
      </w:r>
    </w:p>
    <w:p>
      <w:pPr>
        <w:spacing w:after="0" w:line="6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Revolving Facility contains certain financial covenants, which include requirements that the Company maintain ratios of (i) total net debt to EBITDA of no more than 2.50:1.00 and (ii) consolidated interest coverage of no less than 3.00:1.00. The Company will be in default under the Revolving Facility if it fails to comply with these covenants, and all borrowings outstanding may become due immediately. Additionally, under the Revolving Facility, if the total net debt to EBITDA, as defined by the Revolving Facility, exceeds 1.25, the revolver becomes fully secured for the remaining duration of the Revolving Facility term. As of June 30, 2022, the Company exceeded the 1.25 total net debt to EBITDA ratio and the Revolving Facility became fully secured. At September 30, 2023, we were in compliance with the financial covenants set forth in the Revolving Facility and believe that we will continue to be in compliance in the future.</w:t>
      </w:r>
    </w:p>
    <w:p>
      <w:pPr>
        <w:spacing w:after="0" w:line="6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November 26, 2021, the Company entered into an indenture in connection with its offering of $600 million aggregate principal amount of its senior unsecured notes due 2029 (the "Senior Notes"). The Senior Notes were issued at 100.0% of their par value with a stated fixed annual interest rate of 6.00%. Interest accrues on the outstanding balance and is payable semi-annually. The Senior Notes are general unsecured obligations of the Company and are guaranteed by certain of the Company's existing and future domestic subsidiaries.</w:t>
      </w:r>
    </w:p>
    <w:p>
      <w:pPr>
        <w:spacing w:after="0" w:line="6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indenture discussed above contains various other covenants and obligations to which the Company and its subsidiaries are subject while the Senior Notes are outstanding. The covenants in the indenture may limit the extent to which, or the ability of the Company and its subsidiaries to, among other things: (i) incur additional debt and guarantee debt; (ii) pay dividends or make other distributions or repurchase or redeem capital stock; (iii) prepay, redeem or repurchase certain debt; (iv) issue certain preferred stock or similar equity securities; (v) make loans and investments; (vi) sell assets; (vii) incur liens; (viii) enter into transactions with affiliates; (ix) enter into agreements restricting the ability of the Company’s subsidiaries to pay dividends; and (x) consolidate, merge or sell all or substantially all of the Company’s assets. The indenture also contains customary events of default for transactions of this type and amount. We were in compliance with these covenants at September 30, 2023 and believe that we will continue to be in compliance in the future.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0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During the nine months ended September 30, 2023, we made net tax payments of $76.8 million. Within the next three months, we anticipate making estimated tax payments of $21.2 million for United States federal income taxes and state income taxes.</w:t>
      </w:r>
    </w:p>
    <w:p>
      <w:pPr>
        <w:spacing w:after="0" w:line="3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Deferred income tax liabilities as of September 30, 2023 were $104.8 million</w:t>
      </w:r>
      <w:r>
        <w:rPr>
          <w:rFonts w:ascii="Arial" w:cs="Arial" w:eastAsia="Arial" w:hAnsi="Arial"/>
          <w:sz w:val="18"/>
          <w:szCs w:val="18"/>
          <w:color w:val="EE2724"/>
        </w:rPr>
        <w:t>.</w:t>
      </w:r>
      <w:r>
        <w:rPr>
          <w:rFonts w:ascii="Arial" w:cs="Arial" w:eastAsia="Arial" w:hAnsi="Arial"/>
          <w:sz w:val="18"/>
          <w:szCs w:val="18"/>
          <w:color w:val="auto"/>
        </w:rPr>
        <w:t xml:space="preserve"> Deferred income tax liabilities are calculated based on temporary differences between the tax basis of assets and liabilities and their respective book basis, which will result in taxable amounts in future years when the liabilities are settled at their reported financial statement amounts. The results of these calculations do not have a direct connection with the amount of cash taxes to be paid in any future periods.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0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lease management and information technology space for corporate functions as well as call center space and storage space for our hub facilities under operating leases expiring at various times through 2027. Our corporate and call center leases contain renewal options for additional periods ranging from three to five years. We also lease transportation vehicles under operating leases which generally expire during the next three years. We expect that most leases will be renewed or replaced by other leases in the normal course of business.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 and Commitments</w:t>
      </w:r>
    </w:p>
    <w:p>
      <w:pPr>
        <w:spacing w:after="0" w:line="90"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Future interest payments on the Company's variable-rate debt are based on a rate per annum equal to, at our option, (i) the Secured Overnight Financing Rate ("SOFR") plus a margin within the range of 1.5% to 2.5% for revolving loans, based on total leverage, or (ii) the administrative agent's base rate plus a margin ranging from 0.5% to 1.5%, as specified in the agreement. Future interest payments related to our Revolving Facility are based on the borrowings outstanding at that time. Future interest payments may be different depending on future borrowing activity and interest rates. The Company had no outstanding borrowings under the Revolving Facility as of September 30, 2023.</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On November 26, 2021, the Company issued $600 million aggregate principal amount of Senior Notes that bear a fixed annual interest rate of 6.00%.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Interest accrues on the outstanding balance and is payable semi-annually. The Senior Notes will mature on November 15, 2029.</w:t>
      </w:r>
    </w:p>
    <w:p>
      <w:pPr>
        <w:spacing w:after="0" w:line="8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has no long-term commitments to purchase merchandise nor does it have significant purchase agreements that specify minimum quantities or set prices that exceed our expected requirements for three months.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Unfunded Lending Commitments</w:t>
      </w:r>
    </w:p>
    <w:p>
      <w:pPr>
        <w:spacing w:after="0" w:line="9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through its Vive business, had unconditionally cancellable unfunded lending commitments totaling approximately $531.2 million and $513.7 million as of September 30, 2023 and December 31, 2022, respectively, that do not give rise to revenues and cash flows. These unfunded commitments arise in the ordinary course of business from credit card agreements with individual cardholders that give them the ability to borrow, against unused amounts, up to the maximum credit limit assigned to their account. While these unfunded amounts represented the total available unused lines of credit, the Company does not anticipate that all cardholders will utilize their entire available line at any given point in time. Commitments to extend unsecured credit are agreements to lend to a cardholder so long as there is no violation of any condition established in the contract. Commitments generally have fixed expiration dates or other termination clauses. Since many of the commitments are expected to expire without being drawn upon, the total commitment amounts do not necessarily represent future cash requirements.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Refer to the 2022 Annual Report.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08" w:lineRule="exact"/>
        <w:rPr>
          <w:sz w:val="20"/>
          <w:szCs w:val="20"/>
          <w:color w:val="auto"/>
        </w:rPr>
      </w:pPr>
    </w:p>
    <w:p>
      <w:pPr>
        <w:ind w:right="1060"/>
        <w:spacing w:after="0" w:line="277" w:lineRule="auto"/>
        <w:rPr>
          <w:sz w:val="20"/>
          <w:szCs w:val="20"/>
          <w:color w:val="auto"/>
        </w:rPr>
      </w:pPr>
      <w:r>
        <w:rPr>
          <w:rFonts w:ascii="Arial" w:cs="Arial" w:eastAsia="Arial" w:hAnsi="Arial"/>
          <w:sz w:val="18"/>
          <w:szCs w:val="18"/>
          <w:color w:val="auto"/>
        </w:rPr>
        <w:t>Refer to Note 1 to the condensed consolidated financial statements for a discussion of recently issued accounting pronouncements, including pronouncements that were adopted in the current year.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08" w:lineRule="exact"/>
        <w:rPr>
          <w:sz w:val="20"/>
          <w:szCs w:val="20"/>
          <w:color w:val="auto"/>
        </w:rPr>
      </w:pPr>
    </w:p>
    <w:p>
      <w:pPr>
        <w:jc w:val="both"/>
        <w:ind w:right="200"/>
        <w:spacing w:after="0" w:line="311" w:lineRule="auto"/>
        <w:rPr>
          <w:sz w:val="20"/>
          <w:szCs w:val="20"/>
          <w:color w:val="auto"/>
        </w:rPr>
      </w:pPr>
      <w:r>
        <w:rPr>
          <w:rFonts w:ascii="Arial" w:cs="Arial" w:eastAsia="Arial" w:hAnsi="Arial"/>
          <w:sz w:val="16"/>
          <w:szCs w:val="16"/>
          <w:color w:val="auto"/>
        </w:rPr>
        <w:t>As of September 30, 2023, we had no outstanding borrowings under our Revolving Facility. Borrowings under the Revolving Facility are indexed to the SOFR or the prime rate, which exposes us to the risk of increased interest costs if interest rates rise. Based on the fact that the Company had no variable-rate debt outstanding as of September 30, 2023, a hypothetical 1.0% increase or decrease in interest rates would not affect interest expense.</w:t>
      </w:r>
    </w:p>
    <w:p>
      <w:pPr>
        <w:spacing w:after="0" w:line="2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do not use any significant market risk sensitive instruments to hedge commodity, foreign currency or other risks, and hold no market risk sensitive instruments for trading or speculative purposes.</w:t>
      </w:r>
    </w:p>
    <w:p>
      <w:pPr>
        <w:spacing w:after="0" w:line="200" w:lineRule="exact"/>
        <w:rPr>
          <w:sz w:val="20"/>
          <w:szCs w:val="20"/>
          <w:color w:val="auto"/>
        </w:rPr>
      </w:pPr>
    </w:p>
    <w:p>
      <w:pPr>
        <w:spacing w:after="0" w:line="3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6" w:name="page37"/>
    <w:bookmarkEnd w:id="36"/>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9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An evaluation of the Company’s disclosure controls and procedures, as defined in Rule 13a-15(e) under the Securities Exchange Act of 1934, as amended, was carried out by management, with the participation of the Chief Executive Officer ("CEO") and Chief Financial Officer ("CFO"), as of the end of the period covered by this Quarterly Report on Form 10-Q.</w:t>
      </w:r>
    </w:p>
    <w:p>
      <w:pPr>
        <w:spacing w:after="0" w:line="6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This evaluation is performed to determine if our disclosure controls and procedures are effective to provide reasonable assurance that information required to be disclosed by the Company in the reports that it files or submits under the Securities Exchange Act of 1934, as amended, is accumulated and communicated to management, including our CEO and CFO, as appropriate, to allow timely decisions regarding required disclosures and are effective to provide reasonable assurance that such information is recorded, processed, summarized and reported within the time periods specified by the SEC’s rules and forms. No system of controls, no matter how well designed and operated, can provide absolute assurance that the objectives of the system of controls are met, and no evaluation of controls can provide absolute assurance that the system of controls has operated effectively in all cases. Our disclosure controls and procedures, however, are designed to provide reasonable assurance that the objectives of disclosure controls and procedures are met.</w:t>
      </w:r>
    </w:p>
    <w:p>
      <w:pPr>
        <w:spacing w:after="0" w:line="4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Based on management’s evaluation, the CEO and CFO concluded that the Company’s disclosure controls and procedures were effective as of the date of the evaluation to provide reasonable assurance that the objectives of disclosure controls and procedures are met.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There were no changes in the Company’s internal control over financial reporting, as defined in Rule 13a-15(f) under the Securities Exchange Act of 1934, during the three and nine months ended September 30, 2023 that have materially affected, or are reasonably likely to materially affect, the Company’s internal control over financial reporting.</w:t>
      </w:r>
    </w:p>
    <w:p>
      <w:pPr>
        <w:spacing w:after="0" w:line="200" w:lineRule="exact"/>
        <w:rPr>
          <w:sz w:val="20"/>
          <w:szCs w:val="20"/>
          <w:color w:val="auto"/>
        </w:rPr>
      </w:pPr>
    </w:p>
    <w:p>
      <w:pPr>
        <w:spacing w:after="0" w:line="3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37" w:name="page38"/>
    <w:bookmarkEnd w:id="37"/>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8"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From time to time, we are party to various legal proceedings arising in the ordinary course of business. While any proceeding contains an element of uncertainty, we do not currently believe that any of the outstanding legal proceedings to which we are a party will have a material adverse impact on our business, financial position or results of operations. However, an adverse resolution of a number of these items may have a material adverse impact on our business, financial position or results of operations. For further information, see Note 4 in the accompanying condensed consolidated financial statements under the heading "Legal and Regulatory Proceedings," which discussion is incorporated by reference in response to this Item 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4"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information presented below supplements the risk factors previously reported in Part 1, ITEM 1A, "Risk Factors", in our 2022 Annual Report. Additional risks and uncertainties not presently known to us or that are currently not believed to be significant to our business may also affect our actual results and could harm our business, financial conditions and results of operations. If any additional risks and uncertainties actually occur, our business, results of operations and financial condition could be materially and adversely affected.</w:t>
      </w:r>
    </w:p>
    <w:p>
      <w:pPr>
        <w:spacing w:after="0" w:line="133" w:lineRule="exact"/>
        <w:rPr>
          <w:sz w:val="20"/>
          <w:szCs w:val="20"/>
          <w:color w:val="auto"/>
        </w:rPr>
      </w:pPr>
    </w:p>
    <w:p>
      <w:pPr>
        <w:spacing w:after="0" w:line="340" w:lineRule="auto"/>
        <w:rPr>
          <w:sz w:val="20"/>
          <w:szCs w:val="20"/>
          <w:color w:val="auto"/>
        </w:rPr>
      </w:pPr>
      <w:r>
        <w:rPr>
          <w:rFonts w:ascii="Arial" w:cs="Arial" w:eastAsia="Arial" w:hAnsi="Arial"/>
          <w:sz w:val="15"/>
          <w:szCs w:val="15"/>
          <w:b w:val="1"/>
          <w:bCs w:val="1"/>
          <w:i w:val="1"/>
          <w:iCs w:val="1"/>
          <w:color w:val="auto"/>
        </w:rPr>
        <w:t>The ability of the Company, Progressive Leasing, Vive and Four to protect confidential, proprietary, or sensitive information, including the confidential information of their customers, may be adversely affected by cyber-attacks, employee or other internal misconduct, computer viruses, physical or electronic break-ins, or similar disruptions, any one of which may have a material adverse impact on several aspects of our performance.</w:t>
      </w:r>
    </w:p>
    <w:p>
      <w:pPr>
        <w:spacing w:after="0" w:line="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Progressive Leasing’s, Vive’s and Four’s businesses involve the collection, storage, use, disclosure, processing, transfer, and other handling (collectively, "processing") of a wide variety of information, including personally identifiable information, for various purposes in their businesses, including to help ensure the integrity of their services and to provide features and functionality to their customers and POS partners. The processing of the information they acquire in connection with their customers’ and POS partners’ use of their services is subject to numerous privacy, data protection, cybersecurity, and other laws and regulations in the United States. The automated nature of their businesses and their reliance on digital technologies may make them an attractive target for, and potentially vulnerable to, cyber-attacks, computer malware, computer viruses, social engineering (including phishing and ransomware attacks), general hacking, physical or electronic break-ins, or similar disruptions. While they and their vendors have taken steps to protect the confidential, proprietary, and sensitive information to which they have access and to prevent data loss, their security measures or those of their vendors could be breached, including as a result of employee theft, exfiltration, misuse or malfeasance, their actions, omissions, or errors, third-party actions, omissions, or errors, unintentional events, or deliberate attacks by cyber criminals, any of which may result in the loss of, or unauthorized access to, their or their customers’ data, their intellectual property, or other confidential, proprietary, or sensitive business information. Any accidental or willful security breaches or other unauthorized access to their platforms or servicing systems may cause confidential, proprietary, or sensitive information to be stolen and used for criminal or other unauthorized purposes. Security breaches or unauthorized access to confidential information may also expose Progressive Leasing, Vive, Four and us to liability related to the loss of the information, time-consuming and expensive litigation and government investigations, enforcement actions and negative publicity. If security measures are breached because of employee theft, exfiltration, misuse or malfeasance, Progressive Leasing’s, Vive’s or Four’s own actions, omissions, or errors, third-party actions, omissions, or errors, unintentional events, deliberate attacks by cyber criminals or otherwise, or if design flaws in their software or systems are exposed and exploited, Progressive Leasing’s, Vive’s and Four’s relationships with their customers may be damaged, and they and/or us may incur significant liability. Although we, Progressive Leasing, Vive and Four monitor our respective systems in order to detect security breaches or instances of unauthorized access to confidential information, there is no guarantee that our monitoring efforts will be effective.</w:t>
      </w:r>
    </w:p>
    <w:p>
      <w:pPr>
        <w:spacing w:after="0" w:line="4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techniques used to obtain unauthorized, improper, or illegal access to Progressive Leasing’s, Vive’s, or Four’s systems, their or their customers’ data, or to disable or degrade service or sabotage systems, are constantly evolving, may be difficult to detect quickly, and often are not recognized until after they have been launched against a target. They may be unable to anticipate these techniques, react in a timely manner, or implement adequate preventative or remedial measures. Unauthorized parties have in the past attempted and may in the future attempt to gain access to Progressive Leasing’s, Vive’s or Four’s systems or facilities through various means, including, among others, hacking into our or their POS partners’ or customers’ systems or facilities, or attempting to fraudulently induce employees, POS partners, customers or others into disclosing usernames, passwords, or other sensitive information, which may in turn be used to access systems and gain access to confidential, proprietary, or sensitive information. Such efforts may be state-sponsored and supported by significant financial</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8" w:name="page39"/>
    <w:bookmarkEnd w:id="38"/>
    <w:p>
      <w:pPr>
        <w:ind w:right="80"/>
        <w:spacing w:after="0" w:line="277" w:lineRule="auto"/>
        <w:rPr>
          <w:sz w:val="20"/>
          <w:szCs w:val="20"/>
          <w:color w:val="auto"/>
        </w:rPr>
      </w:pPr>
      <w:r>
        <w:rPr>
          <w:rFonts w:ascii="Arial" w:cs="Arial" w:eastAsia="Arial" w:hAnsi="Arial"/>
          <w:sz w:val="18"/>
          <w:szCs w:val="18"/>
          <w:color w:val="auto"/>
        </w:rPr>
        <w:t>and technological resources, making them even more difficult to detect and prevent. As a result, there can be no assurance that the protections deployed by us, Progressive Leasing, Vive and Four will always be successful.</w:t>
      </w:r>
    </w:p>
    <w:p>
      <w:pPr>
        <w:spacing w:after="0" w:line="3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For example, as the Company disclosed on September 21, 2023, Progressive Leasing recently experienced a cybersecurity incident affecting certain of its systems. While there was no major operational impact to any of Progressive Leasing’s services as a result of the incident, and the Company’s other subsidiaries were not impacted, this incident, as well as any other breach of our systems or facilities, or those of Progressive Leasing, Vive or Four, may continue to result in the risks discussed herein.</w:t>
      </w:r>
    </w:p>
    <w:p>
      <w:pPr>
        <w:spacing w:after="0" w:line="65"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Any actual or perceived failure to comply with legal and regulatory requirements applicable to us, Progressive Leasing, Vive or Four, including those relating to information security, or any failure to protect the information that they collect from their customers and POS partners, including personally identifiable information, from cyber-attacks, may result in, among other things, regulatory or governmental investigations, administrative enforcement actions, sanctions, criminal liability, private litigation, civil liability and constraints on our, Progressive Leasing’s, Vive’s or Four’s ability to continue to operate.</w:t>
      </w:r>
    </w:p>
    <w:p>
      <w:pPr>
        <w:spacing w:after="0" w:line="6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Furthermore, federal and state regulators and many federal and state laws and regulations require notice of any data security breaches that involve personal information. These mandatory disclosures regarding a security breach are costly to implement and often lead to widespread negative publicity, which may cause consumers to lose confidence in the effectiveness of our, Progressive Leasing’s, Vive’s or Four’s data security measures. Any security breach suffered by us, Progressive Leasing, Vive, Four or our vendors, any unauthorized, accidental, or unlawful access or loss of data, or the perception that any such event has occurred, may result in a disruption to our, Progressive Leasing’s, Vive’s or Four’s operations, litigation, an obligation to notify regulators and affected individuals, the triggering of indemnification and other contractual obligations, regulatory investigations, government fines and penalties, reputational damage, and loss of customers and ecosystem partners, and our business may be materially and adversely affected.</w:t>
      </w:r>
    </w:p>
    <w:p>
      <w:pPr>
        <w:spacing w:after="0" w:line="3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addition, we may incur significant costs and operational consequences in connection with investigating, mitigating, remediating, eliminating, and putting in place additional tools and devices designed to prevent future actual or perceived security incidents, as well as in connection with complying with any notification or other obligations resulting from any security incidents. Our insurance policies carry retention and coverage limits, which may not be adequate to reimburse us for losses caused by security breaches, and we may not be able to collect fully, if at all, under these insurance policies. The successful assertion of one or more large claims against us that exceed available insurance coverage, or the occurrence of changes in our insurance policies, including premium increases or the imposition of large deductible or co-insurance requirements, may adversely affect our business. Furthermore, we cannot be certain that insurance coverage will continue to be available on acceptable terms or at all, or that the insurer will not deny coverage as to any future claim, including claims relating to the most recent cybersecurity incident experienced by Progressive Leasing discussed above. Reduced confidence and participation in our platforms and our data security measures may also adversely affect a customer’s willingness to make payments on his or her lease (in the case of Progressive Leasing) or loan (in the case of Vive or Four), which may result in reduced collections.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share repurchase activity for the three months ended September 30, 2023:</w:t>
      </w:r>
    </w:p>
    <w:p>
      <w:pPr>
        <w:spacing w:after="0" w:line="18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100" w:type="dxa"/>
            <w:vAlign w:val="bottom"/>
            <w:vMerge w:val="restart"/>
          </w:tcPr>
          <w:p>
            <w:pPr>
              <w:jc w:val="right"/>
              <w:ind w:right="298"/>
              <w:spacing w:after="0"/>
              <w:rPr>
                <w:sz w:val="20"/>
                <w:szCs w:val="20"/>
                <w:color w:val="auto"/>
              </w:rPr>
            </w:pPr>
            <w:r>
              <w:rPr>
                <w:rFonts w:ascii="Arial" w:cs="Arial" w:eastAsia="Arial" w:hAnsi="Arial"/>
                <w:sz w:val="14"/>
                <w:szCs w:val="14"/>
                <w:b w:val="1"/>
                <w:bCs w:val="1"/>
                <w:color w:val="auto"/>
              </w:rPr>
              <w:t>Total Number of Shares</w:t>
            </w:r>
          </w:p>
        </w:tc>
        <w:tc>
          <w:tcPr>
            <w:tcW w:w="1820" w:type="dxa"/>
            <w:vAlign w:val="bottom"/>
          </w:tcPr>
          <w:p>
            <w:pPr>
              <w:jc w:val="center"/>
              <w:ind w:right="59"/>
              <w:spacing w:after="0"/>
              <w:rPr>
                <w:sz w:val="20"/>
                <w:szCs w:val="20"/>
                <w:color w:val="auto"/>
              </w:rPr>
            </w:pPr>
            <w:r>
              <w:rPr>
                <w:rFonts w:ascii="Arial" w:cs="Arial" w:eastAsia="Arial" w:hAnsi="Arial"/>
                <w:sz w:val="14"/>
                <w:szCs w:val="14"/>
                <w:b w:val="1"/>
                <w:bCs w:val="1"/>
                <w:color w:val="auto"/>
                <w:w w:val="96"/>
              </w:rPr>
              <w:t>Maximum Dollar Value of</w:t>
            </w:r>
          </w:p>
        </w:tc>
        <w:tc>
          <w:tcPr>
            <w:tcW w:w="0" w:type="dxa"/>
            <w:vAlign w:val="bottom"/>
          </w:tcPr>
          <w:p>
            <w:pPr>
              <w:spacing w:after="0"/>
              <w:rPr>
                <w:sz w:val="1"/>
                <w:szCs w:val="1"/>
                <w:color w:val="auto"/>
              </w:rPr>
            </w:pPr>
          </w:p>
        </w:tc>
      </w:tr>
      <w:tr>
        <w:trPr>
          <w:trHeight w:val="149"/>
        </w:trPr>
        <w:tc>
          <w:tcPr>
            <w:tcW w:w="3980" w:type="dxa"/>
            <w:vAlign w:val="bottom"/>
          </w:tcPr>
          <w:p>
            <w:pPr>
              <w:spacing w:after="0"/>
              <w:rPr>
                <w:sz w:val="12"/>
                <w:szCs w:val="12"/>
                <w:color w:val="auto"/>
              </w:rPr>
            </w:pPr>
          </w:p>
        </w:tc>
        <w:tc>
          <w:tcPr>
            <w:tcW w:w="33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Total Number of Shares  Average Price Paid</w:t>
            </w:r>
          </w:p>
        </w:tc>
        <w:tc>
          <w:tcPr>
            <w:tcW w:w="2100" w:type="dxa"/>
            <w:vAlign w:val="bottom"/>
            <w:vMerge w:val="continue"/>
          </w:tcPr>
          <w:p>
            <w:pPr>
              <w:spacing w:after="0"/>
              <w:rPr>
                <w:sz w:val="12"/>
                <w:szCs w:val="12"/>
                <w:color w:val="auto"/>
              </w:rPr>
            </w:pPr>
          </w:p>
        </w:tc>
        <w:tc>
          <w:tcPr>
            <w:tcW w:w="182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8"/>
        </w:trPr>
        <w:tc>
          <w:tcPr>
            <w:tcW w:w="3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3300" w:type="dxa"/>
            <w:vAlign w:val="bottom"/>
            <w:gridSpan w:val="2"/>
            <w:vMerge w:val="continue"/>
          </w:tcPr>
          <w:p>
            <w:pPr>
              <w:spacing w:after="0"/>
              <w:rPr>
                <w:sz w:val="12"/>
                <w:szCs w:val="12"/>
                <w:color w:val="auto"/>
              </w:rPr>
            </w:pPr>
          </w:p>
        </w:tc>
        <w:tc>
          <w:tcPr>
            <w:tcW w:w="39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4"/>
              </w:rPr>
              <w:t>Purchased as Part of Publicly  Purchased Under the Plans or</w:t>
            </w:r>
          </w:p>
        </w:tc>
        <w:tc>
          <w:tcPr>
            <w:tcW w:w="0" w:type="dxa"/>
            <w:vAlign w:val="bottom"/>
          </w:tcPr>
          <w:p>
            <w:pPr>
              <w:spacing w:after="0"/>
              <w:rPr>
                <w:sz w:val="1"/>
                <w:szCs w:val="1"/>
                <w:color w:val="auto"/>
              </w:rPr>
            </w:pPr>
          </w:p>
        </w:tc>
      </w:tr>
      <w:tr>
        <w:trPr>
          <w:trHeight w:val="203"/>
        </w:trPr>
        <w:tc>
          <w:tcPr>
            <w:tcW w:w="3980" w:type="dxa"/>
            <w:vAlign w:val="bottom"/>
            <w:tcBorders>
              <w:bottom w:val="single" w:sz="8" w:color="auto"/>
            </w:tcBorders>
            <w:vMerge w:val="continue"/>
          </w:tcPr>
          <w:p>
            <w:pPr>
              <w:spacing w:after="0"/>
              <w:rPr>
                <w:sz w:val="17"/>
                <w:szCs w:val="17"/>
                <w:color w:val="auto"/>
              </w:rPr>
            </w:pPr>
          </w:p>
        </w:tc>
        <w:tc>
          <w:tcPr>
            <w:tcW w:w="226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Purchased</w:t>
            </w:r>
          </w:p>
        </w:tc>
        <w:tc>
          <w:tcPr>
            <w:tcW w:w="104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per Share</w:t>
            </w:r>
          </w:p>
        </w:tc>
        <w:tc>
          <w:tcPr>
            <w:tcW w:w="210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w w:val="92"/>
              </w:rPr>
              <w:t>Announced Plans or Programs</w:t>
            </w:r>
          </w:p>
        </w:tc>
        <w:tc>
          <w:tcPr>
            <w:tcW w:w="1820" w:type="dxa"/>
            <w:vAlign w:val="bottom"/>
            <w:tcBorders>
              <w:bottom w:val="single" w:sz="8" w:color="auto"/>
            </w:tcBorders>
          </w:tcPr>
          <w:p>
            <w:pPr>
              <w:jc w:val="center"/>
              <w:ind w:right="59"/>
              <w:spacing w:after="0" w:line="202" w:lineRule="exact"/>
              <w:rPr>
                <w:sz w:val="20"/>
                <w:szCs w:val="20"/>
                <w:color w:val="auto"/>
              </w:rPr>
            </w:pPr>
            <w:r>
              <w:rPr>
                <w:rFonts w:ascii="Arial" w:cs="Arial" w:eastAsia="Arial" w:hAnsi="Arial"/>
                <w:sz w:val="14"/>
                <w:szCs w:val="14"/>
                <w:b w:val="1"/>
                <w:bCs w:val="1"/>
                <w:color w:val="auto"/>
                <w:w w:val="89"/>
              </w:rPr>
              <w:t xml:space="preserve">Programs </w:t>
            </w:r>
            <w:r>
              <w:rPr>
                <w:rFonts w:ascii="Arial" w:cs="Arial" w:eastAsia="Arial" w:hAnsi="Arial"/>
                <w:sz w:val="18"/>
                <w:szCs w:val="18"/>
                <w:b w:val="1"/>
                <w:bCs w:val="1"/>
                <w:color w:val="auto"/>
                <w:w w:val="89"/>
                <w:vertAlign w:val="superscript"/>
              </w:rPr>
              <w:t>1</w:t>
            </w:r>
          </w:p>
        </w:tc>
        <w:tc>
          <w:tcPr>
            <w:tcW w:w="0" w:type="dxa"/>
            <w:vAlign w:val="bottom"/>
          </w:tcPr>
          <w:p>
            <w:pPr>
              <w:spacing w:after="0"/>
              <w:rPr>
                <w:sz w:val="1"/>
                <w:szCs w:val="1"/>
                <w:color w:val="auto"/>
              </w:rPr>
            </w:pPr>
          </w:p>
        </w:tc>
      </w:tr>
      <w:tr>
        <w:trPr>
          <w:trHeight w:val="223"/>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July 1, 2023 through July 31, 2023</w:t>
            </w:r>
          </w:p>
        </w:tc>
        <w:tc>
          <w:tcPr>
            <w:tcW w:w="22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 $</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265,440,247</w:t>
            </w:r>
          </w:p>
        </w:tc>
        <w:tc>
          <w:tcPr>
            <w:tcW w:w="0" w:type="dxa"/>
            <w:vAlign w:val="bottom"/>
          </w:tcPr>
          <w:p>
            <w:pPr>
              <w:spacing w:after="0"/>
              <w:rPr>
                <w:sz w:val="1"/>
                <w:szCs w:val="1"/>
                <w:color w:val="auto"/>
              </w:rPr>
            </w:pPr>
          </w:p>
        </w:tc>
      </w:tr>
      <w:tr>
        <w:trPr>
          <w:trHeight w:val="230"/>
        </w:trPr>
        <w:tc>
          <w:tcPr>
            <w:tcW w:w="3980" w:type="dxa"/>
            <w:vAlign w:val="bottom"/>
          </w:tcPr>
          <w:p>
            <w:pPr>
              <w:ind w:left="20"/>
              <w:spacing w:after="0"/>
              <w:rPr>
                <w:sz w:val="20"/>
                <w:szCs w:val="20"/>
                <w:color w:val="auto"/>
              </w:rPr>
            </w:pPr>
            <w:r>
              <w:rPr>
                <w:rFonts w:ascii="Arial" w:cs="Arial" w:eastAsia="Arial" w:hAnsi="Arial"/>
                <w:sz w:val="18"/>
                <w:szCs w:val="18"/>
                <w:color w:val="auto"/>
              </w:rPr>
              <w:t>August 1, 2023 through August 31, 2023</w:t>
            </w:r>
          </w:p>
        </w:tc>
        <w:tc>
          <w:tcPr>
            <w:tcW w:w="2260" w:type="dxa"/>
            <w:vAlign w:val="bottom"/>
          </w:tcPr>
          <w:p>
            <w:pPr>
              <w:jc w:val="right"/>
              <w:ind w:right="196"/>
              <w:spacing w:after="0"/>
              <w:rPr>
                <w:sz w:val="20"/>
                <w:szCs w:val="20"/>
                <w:color w:val="auto"/>
              </w:rPr>
            </w:pPr>
            <w:r>
              <w:rPr>
                <w:rFonts w:ascii="Arial" w:cs="Arial" w:eastAsia="Arial" w:hAnsi="Arial"/>
                <w:sz w:val="18"/>
                <w:szCs w:val="18"/>
                <w:color w:val="auto"/>
              </w:rPr>
              <w:t>603,975</w:t>
            </w:r>
          </w:p>
        </w:tc>
        <w:tc>
          <w:tcPr>
            <w:tcW w:w="1040" w:type="dxa"/>
            <w:vAlign w:val="bottom"/>
          </w:tcPr>
          <w:p>
            <w:pPr>
              <w:jc w:val="right"/>
              <w:spacing w:after="0"/>
              <w:rPr>
                <w:sz w:val="20"/>
                <w:szCs w:val="20"/>
                <w:color w:val="auto"/>
              </w:rPr>
            </w:pPr>
            <w:r>
              <w:rPr>
                <w:rFonts w:ascii="Arial" w:cs="Arial" w:eastAsia="Arial" w:hAnsi="Arial"/>
                <w:sz w:val="18"/>
                <w:szCs w:val="18"/>
                <w:color w:val="auto"/>
              </w:rPr>
              <w:t>35.55</w:t>
            </w:r>
          </w:p>
        </w:tc>
        <w:tc>
          <w:tcPr>
            <w:tcW w:w="2100" w:type="dxa"/>
            <w:vAlign w:val="bottom"/>
          </w:tcPr>
          <w:p>
            <w:pPr>
              <w:jc w:val="right"/>
              <w:ind w:right="138"/>
              <w:spacing w:after="0"/>
              <w:rPr>
                <w:sz w:val="20"/>
                <w:szCs w:val="20"/>
                <w:color w:val="auto"/>
              </w:rPr>
            </w:pPr>
            <w:r>
              <w:rPr>
                <w:rFonts w:ascii="Arial" w:cs="Arial" w:eastAsia="Arial" w:hAnsi="Arial"/>
                <w:sz w:val="18"/>
                <w:szCs w:val="18"/>
                <w:color w:val="auto"/>
              </w:rPr>
              <w:t>603,975</w:t>
            </w:r>
          </w:p>
        </w:tc>
        <w:tc>
          <w:tcPr>
            <w:tcW w:w="1820" w:type="dxa"/>
            <w:vAlign w:val="bottom"/>
          </w:tcPr>
          <w:p>
            <w:pPr>
              <w:jc w:val="right"/>
              <w:spacing w:after="0"/>
              <w:rPr>
                <w:sz w:val="20"/>
                <w:szCs w:val="20"/>
                <w:color w:val="auto"/>
              </w:rPr>
            </w:pPr>
            <w:r>
              <w:rPr>
                <w:rFonts w:ascii="Arial" w:cs="Arial" w:eastAsia="Arial" w:hAnsi="Arial"/>
                <w:sz w:val="18"/>
                <w:szCs w:val="18"/>
                <w:color w:val="auto"/>
              </w:rPr>
              <w:t>243,966,429</w:t>
            </w:r>
          </w:p>
        </w:tc>
        <w:tc>
          <w:tcPr>
            <w:tcW w:w="0" w:type="dxa"/>
            <w:vAlign w:val="bottom"/>
          </w:tcPr>
          <w:p>
            <w:pPr>
              <w:spacing w:after="0"/>
              <w:rPr>
                <w:sz w:val="1"/>
                <w:szCs w:val="1"/>
                <w:color w:val="auto"/>
              </w:rPr>
            </w:pPr>
          </w:p>
        </w:tc>
      </w:tr>
      <w:tr>
        <w:trPr>
          <w:trHeight w:val="230"/>
        </w:trPr>
        <w:tc>
          <w:tcPr>
            <w:tcW w:w="3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September 1, 2023 through September 30, 2023</w:t>
            </w:r>
          </w:p>
        </w:tc>
        <w:tc>
          <w:tcPr>
            <w:tcW w:w="226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rPr>
              <w:t>441,622</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33.89</w:t>
            </w:r>
          </w:p>
        </w:tc>
        <w:tc>
          <w:tcPr>
            <w:tcW w:w="210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8"/>
                <w:szCs w:val="18"/>
                <w:color w:val="auto"/>
              </w:rPr>
              <w:t>441,622</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228,999,914</w:t>
            </w:r>
          </w:p>
        </w:tc>
        <w:tc>
          <w:tcPr>
            <w:tcW w:w="0" w:type="dxa"/>
            <w:vAlign w:val="bottom"/>
          </w:tcPr>
          <w:p>
            <w:pPr>
              <w:spacing w:after="0"/>
              <w:rPr>
                <w:sz w:val="1"/>
                <w:szCs w:val="1"/>
                <w:color w:val="auto"/>
              </w:rPr>
            </w:pPr>
          </w:p>
        </w:tc>
      </w:tr>
      <w:tr>
        <w:trPr>
          <w:trHeight w:val="223"/>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2260" w:type="dxa"/>
            <w:vAlign w:val="bottom"/>
            <w:tcBorders>
              <w:bottom w:val="single" w:sz="8" w:color="auto"/>
            </w:tcBorders>
          </w:tcPr>
          <w:p>
            <w:pPr>
              <w:jc w:val="right"/>
              <w:ind w:right="196"/>
              <w:spacing w:after="0"/>
              <w:rPr>
                <w:sz w:val="20"/>
                <w:szCs w:val="20"/>
                <w:color w:val="auto"/>
              </w:rPr>
            </w:pPr>
            <w:r>
              <w:rPr>
                <w:rFonts w:ascii="Arial" w:cs="Arial" w:eastAsia="Arial" w:hAnsi="Arial"/>
                <w:sz w:val="18"/>
                <w:szCs w:val="18"/>
                <w:color w:val="auto"/>
              </w:rPr>
              <w:t>1,045,597</w:t>
            </w:r>
          </w:p>
        </w:tc>
        <w:tc>
          <w:tcPr>
            <w:tcW w:w="104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ind w:right="138"/>
              <w:spacing w:after="0"/>
              <w:rPr>
                <w:sz w:val="20"/>
                <w:szCs w:val="20"/>
                <w:color w:val="auto"/>
              </w:rPr>
            </w:pPr>
            <w:r>
              <w:rPr>
                <w:rFonts w:ascii="Arial" w:cs="Arial" w:eastAsia="Arial" w:hAnsi="Arial"/>
                <w:sz w:val="18"/>
                <w:szCs w:val="18"/>
                <w:color w:val="auto"/>
              </w:rPr>
              <w:t>1,045,597</w:t>
            </w:r>
          </w:p>
        </w:tc>
        <w:tc>
          <w:tcPr>
            <w:tcW w:w="1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80" w:right="60" w:hanging="72"/>
        <w:spacing w:after="0" w:line="277" w:lineRule="auto"/>
        <w:tabs>
          <w:tab w:leader="none" w:pos="69" w:val="left"/>
        </w:tabs>
        <w:numPr>
          <w:ilvl w:val="0"/>
          <w:numId w:val="21"/>
        </w:numPr>
        <w:rPr>
          <w:rFonts w:ascii="Arial" w:cs="Arial" w:eastAsia="Arial" w:hAnsi="Arial"/>
          <w:sz w:val="9"/>
          <w:szCs w:val="9"/>
          <w:color w:val="auto"/>
        </w:rPr>
      </w:pPr>
      <w:r>
        <w:rPr>
          <w:rFonts w:ascii="Arial" w:cs="Arial" w:eastAsia="Arial" w:hAnsi="Arial"/>
          <w:sz w:val="14"/>
          <w:szCs w:val="14"/>
          <w:color w:val="auto"/>
        </w:rPr>
        <w:t>Share repurchases are conducted under authorizations made from time to time by the Company’s Board of Directors. The authorization effective November 3, 2021, provided the Company with the ability to repurchase shares up to a maximum amount of $1 billion. Subject to the terms of the Board's authorization and applicable law, repurchases may be made at such times and in such amounts as the Company deems appropriate. Repurchases may be discontinued at any time.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39" w:name="page40"/>
    <w:bookmarkEnd w:id="39"/>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40" w:name="page41"/>
    <w:bookmarkEnd w:id="40"/>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90"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980" w:type="dxa"/>
            <w:vAlign w:val="bottom"/>
          </w:tcPr>
          <w:p>
            <w:pPr>
              <w:jc w:val="center"/>
              <w:ind w:right="213"/>
              <w:spacing w:after="0"/>
              <w:rPr>
                <w:sz w:val="20"/>
                <w:szCs w:val="20"/>
                <w:color w:val="auto"/>
              </w:rPr>
            </w:pPr>
            <w:r>
              <w:rPr>
                <w:rFonts w:ascii="Arial" w:cs="Arial" w:eastAsia="Arial" w:hAnsi="Arial"/>
                <w:sz w:val="14"/>
                <w:szCs w:val="14"/>
                <w:b w:val="1"/>
                <w:bCs w:val="1"/>
                <w:color w:val="auto"/>
              </w:rPr>
              <w:t>EXHIBIT</w:t>
            </w:r>
          </w:p>
        </w:tc>
        <w:tc>
          <w:tcPr>
            <w:tcW w:w="400" w:type="dxa"/>
            <w:vAlign w:val="bottom"/>
          </w:tcPr>
          <w:p>
            <w:pPr>
              <w:spacing w:after="0"/>
              <w:rPr>
                <w:sz w:val="14"/>
                <w:szCs w:val="14"/>
                <w:color w:val="auto"/>
              </w:rPr>
            </w:pPr>
          </w:p>
        </w:tc>
        <w:tc>
          <w:tcPr>
            <w:tcW w:w="9640" w:type="dxa"/>
            <w:vAlign w:val="bottom"/>
            <w:gridSpan w:val="4"/>
            <w:vMerge w:val="restart"/>
          </w:tcPr>
          <w:p>
            <w:pPr>
              <w:ind w:left="368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86"/>
        </w:trPr>
        <w:tc>
          <w:tcPr>
            <w:tcW w:w="980" w:type="dxa"/>
            <w:vAlign w:val="bottom"/>
          </w:tcPr>
          <w:p>
            <w:pPr>
              <w:jc w:val="center"/>
              <w:ind w:right="213"/>
              <w:spacing w:after="0"/>
              <w:rPr>
                <w:sz w:val="20"/>
                <w:szCs w:val="20"/>
                <w:color w:val="auto"/>
              </w:rPr>
            </w:pPr>
            <w:r>
              <w:rPr>
                <w:rFonts w:ascii="Arial" w:cs="Arial" w:eastAsia="Arial" w:hAnsi="Arial"/>
                <w:sz w:val="14"/>
                <w:szCs w:val="14"/>
                <w:b w:val="1"/>
                <w:bCs w:val="1"/>
                <w:color w:val="auto"/>
                <w:w w:val="96"/>
              </w:rPr>
              <w:t>NO.</w:t>
            </w:r>
          </w:p>
        </w:tc>
        <w:tc>
          <w:tcPr>
            <w:tcW w:w="400" w:type="dxa"/>
            <w:vAlign w:val="bottom"/>
          </w:tcPr>
          <w:p>
            <w:pPr>
              <w:spacing w:after="0"/>
              <w:rPr>
                <w:sz w:val="16"/>
                <w:szCs w:val="16"/>
                <w:color w:val="auto"/>
              </w:rPr>
            </w:pPr>
          </w:p>
        </w:tc>
        <w:tc>
          <w:tcPr>
            <w:tcW w:w="964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980" w:type="dxa"/>
            <w:vAlign w:val="bottom"/>
          </w:tcPr>
          <w:p>
            <w:pPr>
              <w:jc w:val="center"/>
              <w:ind w:right="213"/>
              <w:spacing w:after="0"/>
              <w:rPr>
                <w:sz w:val="20"/>
                <w:szCs w:val="20"/>
                <w:color w:val="auto"/>
              </w:rPr>
            </w:pPr>
            <w:r>
              <w:rPr>
                <w:rFonts w:ascii="Arial" w:cs="Arial" w:eastAsia="Arial" w:hAnsi="Arial"/>
                <w:sz w:val="18"/>
                <w:szCs w:val="18"/>
                <w:color w:val="auto"/>
                <w:w w:val="95"/>
              </w:rPr>
              <w:t>31.1*</w:t>
            </w:r>
          </w:p>
        </w:tc>
        <w:tc>
          <w:tcPr>
            <w:tcW w:w="10040" w:type="dxa"/>
            <w:vAlign w:val="bottom"/>
            <w:gridSpan w:val="5"/>
          </w:tcPr>
          <w:p>
            <w:pPr>
              <w:spacing w:after="0"/>
              <w:rPr>
                <w:sz w:val="20"/>
                <w:szCs w:val="20"/>
                <w:color w:val="auto"/>
              </w:rPr>
            </w:pPr>
            <w:r>
              <w:rPr>
                <w:rFonts w:ascii="Arial" w:cs="Arial" w:eastAsia="Arial" w:hAnsi="Arial"/>
                <w:sz w:val="18"/>
                <w:szCs w:val="18"/>
                <w:color w:val="0000FF"/>
                <w:w w:val="95"/>
              </w:rPr>
              <w:t>Certification of Chief Executive Officer pursuant to Rule 13a-14(a) and Rule 15d-14(a) of the Securities Exchange Act, as amended.</w:t>
            </w:r>
          </w:p>
        </w:tc>
        <w:tc>
          <w:tcPr>
            <w:tcW w:w="0" w:type="dxa"/>
            <w:vAlign w:val="bottom"/>
          </w:tcPr>
          <w:p>
            <w:pPr>
              <w:spacing w:after="0"/>
              <w:rPr>
                <w:sz w:val="1"/>
                <w:szCs w:val="1"/>
                <w:color w:val="auto"/>
              </w:rPr>
            </w:pPr>
          </w:p>
        </w:tc>
      </w:tr>
      <w:tr>
        <w:trPr>
          <w:trHeight w:val="264"/>
        </w:trPr>
        <w:tc>
          <w:tcPr>
            <w:tcW w:w="980" w:type="dxa"/>
            <w:vAlign w:val="bottom"/>
          </w:tcPr>
          <w:p>
            <w:pPr>
              <w:jc w:val="center"/>
              <w:ind w:right="213"/>
              <w:spacing w:after="0"/>
              <w:rPr>
                <w:sz w:val="20"/>
                <w:szCs w:val="20"/>
                <w:color w:val="auto"/>
              </w:rPr>
            </w:pPr>
            <w:r>
              <w:rPr>
                <w:rFonts w:ascii="Arial" w:cs="Arial" w:eastAsia="Arial" w:hAnsi="Arial"/>
                <w:sz w:val="18"/>
                <w:szCs w:val="18"/>
                <w:color w:val="auto"/>
                <w:w w:val="95"/>
              </w:rPr>
              <w:t>31.2*</w:t>
            </w:r>
          </w:p>
        </w:tc>
        <w:tc>
          <w:tcPr>
            <w:tcW w:w="950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91"/>
              </w:rPr>
              <w:t>Certification of Chief Financial Officer pursuant to Rule 13a-14(a) and Rule 15d-14(a) of the Securities Exchange Act, as amended.</w:t>
            </w:r>
          </w:p>
        </w:tc>
        <w:tc>
          <w:tcPr>
            <w:tcW w:w="40" w:type="dxa"/>
            <w:vAlign w:val="bottom"/>
            <w:tcBorders>
              <w:top w:val="single" w:sz="8" w:color="0000FF"/>
            </w:tcBorders>
          </w:tcPr>
          <w:p>
            <w:pPr>
              <w:spacing w:after="0"/>
              <w:rPr>
                <w:sz w:val="22"/>
                <w:szCs w:val="22"/>
                <w:color w:val="auto"/>
              </w:rPr>
            </w:pPr>
          </w:p>
        </w:tc>
        <w:tc>
          <w:tcPr>
            <w:tcW w:w="50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980" w:type="dxa"/>
            <w:vAlign w:val="bottom"/>
          </w:tcPr>
          <w:p>
            <w:pPr>
              <w:jc w:val="center"/>
              <w:ind w:right="213"/>
              <w:spacing w:after="0"/>
              <w:rPr>
                <w:sz w:val="20"/>
                <w:szCs w:val="20"/>
                <w:color w:val="auto"/>
              </w:rPr>
            </w:pPr>
            <w:r>
              <w:rPr>
                <w:rFonts w:ascii="Arial" w:cs="Arial" w:eastAsia="Arial" w:hAnsi="Arial"/>
                <w:sz w:val="18"/>
                <w:szCs w:val="18"/>
                <w:color w:val="auto"/>
                <w:w w:val="95"/>
              </w:rPr>
              <w:t>32.1*</w:t>
            </w:r>
          </w:p>
        </w:tc>
        <w:tc>
          <w:tcPr>
            <w:tcW w:w="10040" w:type="dxa"/>
            <w:vAlign w:val="bottom"/>
            <w:gridSpan w:val="5"/>
          </w:tcPr>
          <w:p>
            <w:pPr>
              <w:spacing w:after="0"/>
              <w:rPr>
                <w:sz w:val="20"/>
                <w:szCs w:val="20"/>
                <w:color w:val="auto"/>
              </w:rPr>
            </w:pPr>
            <w:r>
              <w:rPr>
                <w:rFonts w:ascii="Arial" w:cs="Arial" w:eastAsia="Arial" w:hAnsi="Arial"/>
                <w:sz w:val="18"/>
                <w:szCs w:val="18"/>
                <w:color w:val="0000FF"/>
                <w:w w:val="94"/>
              </w:rPr>
              <w:t>Certification of Chief Executive Officer pursuant to 18 U.S.C. 1350, as adopted pursuant to Section 906 of the Sarbanes-Oxley Act of</w:t>
            </w: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400" w:type="dxa"/>
            <w:vAlign w:val="bottom"/>
            <w:tcBorders>
              <w:top w:val="single" w:sz="8" w:color="0000FF"/>
              <w:bottom w:val="single" w:sz="8" w:color="0000FF"/>
            </w:tcBorders>
          </w:tcPr>
          <w:p>
            <w:pPr>
              <w:spacing w:after="0" w:line="156" w:lineRule="exact"/>
              <w:rPr>
                <w:sz w:val="20"/>
                <w:szCs w:val="20"/>
                <w:color w:val="auto"/>
              </w:rPr>
            </w:pPr>
            <w:r>
              <w:rPr>
                <w:rFonts w:ascii="Arial" w:cs="Arial" w:eastAsia="Arial" w:hAnsi="Arial"/>
                <w:sz w:val="18"/>
                <w:szCs w:val="18"/>
                <w:color w:val="0000FF"/>
                <w:w w:val="84"/>
              </w:rPr>
              <w:t>2002.</w:t>
            </w:r>
          </w:p>
        </w:tc>
        <w:tc>
          <w:tcPr>
            <w:tcW w:w="9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980" w:type="dxa"/>
            <w:vAlign w:val="bottom"/>
          </w:tcPr>
          <w:p>
            <w:pPr>
              <w:jc w:val="center"/>
              <w:ind w:right="213"/>
              <w:spacing w:after="0"/>
              <w:rPr>
                <w:sz w:val="20"/>
                <w:szCs w:val="20"/>
                <w:color w:val="auto"/>
              </w:rPr>
            </w:pPr>
            <w:r>
              <w:rPr>
                <w:rFonts w:ascii="Arial" w:cs="Arial" w:eastAsia="Arial" w:hAnsi="Arial"/>
                <w:sz w:val="18"/>
                <w:szCs w:val="18"/>
                <w:color w:val="auto"/>
                <w:w w:val="95"/>
              </w:rPr>
              <w:t>32.2*</w:t>
            </w:r>
          </w:p>
        </w:tc>
        <w:tc>
          <w:tcPr>
            <w:tcW w:w="1004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1"/>
              </w:rPr>
              <w:t>Certification of Chief Financial Officer pursuant to 18 U.S.C. 1350, as adopted pursuant to Section 906 of the Sarbanes-Oxley Act of 2002.</w:t>
            </w:r>
          </w:p>
        </w:tc>
        <w:tc>
          <w:tcPr>
            <w:tcW w:w="0" w:type="dxa"/>
            <w:vAlign w:val="bottom"/>
          </w:tcPr>
          <w:p>
            <w:pPr>
              <w:spacing w:after="0"/>
              <w:rPr>
                <w:sz w:val="1"/>
                <w:szCs w:val="1"/>
                <w:color w:val="auto"/>
              </w:rPr>
            </w:pPr>
          </w:p>
        </w:tc>
      </w:tr>
      <w:tr>
        <w:trPr>
          <w:trHeight w:val="250"/>
        </w:trPr>
        <w:tc>
          <w:tcPr>
            <w:tcW w:w="980" w:type="dxa"/>
            <w:vAlign w:val="bottom"/>
          </w:tcPr>
          <w:p>
            <w:pPr>
              <w:jc w:val="center"/>
              <w:ind w:right="213"/>
              <w:spacing w:after="0"/>
              <w:rPr>
                <w:sz w:val="20"/>
                <w:szCs w:val="20"/>
                <w:color w:val="auto"/>
              </w:rPr>
            </w:pPr>
            <w:r>
              <w:rPr>
                <w:rFonts w:ascii="Arial" w:cs="Arial" w:eastAsia="Arial" w:hAnsi="Arial"/>
                <w:sz w:val="18"/>
                <w:szCs w:val="18"/>
                <w:color w:val="auto"/>
                <w:w w:val="92"/>
              </w:rPr>
              <w:t>101.INS</w:t>
            </w:r>
          </w:p>
        </w:tc>
        <w:tc>
          <w:tcPr>
            <w:tcW w:w="10040" w:type="dxa"/>
            <w:vAlign w:val="bottom"/>
            <w:gridSpan w:val="5"/>
          </w:tcPr>
          <w:p>
            <w:pPr>
              <w:spacing w:after="0"/>
              <w:rPr>
                <w:sz w:val="20"/>
                <w:szCs w:val="20"/>
                <w:color w:val="auto"/>
              </w:rPr>
            </w:pPr>
            <w:r>
              <w:rPr>
                <w:rFonts w:ascii="Arial" w:cs="Arial" w:eastAsia="Arial" w:hAnsi="Arial"/>
                <w:sz w:val="18"/>
                <w:szCs w:val="18"/>
                <w:color w:val="auto"/>
                <w:w w:val="90"/>
              </w:rPr>
              <w:t>XBRL Instance Document - The instance document does not appear in the interactive data file because its XBRL tags are embedded within</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10040" w:type="dxa"/>
            <w:vAlign w:val="bottom"/>
            <w:gridSpan w:val="5"/>
          </w:tcPr>
          <w:p>
            <w:pPr>
              <w:spacing w:after="0"/>
              <w:rPr>
                <w:sz w:val="20"/>
                <w:szCs w:val="20"/>
                <w:color w:val="auto"/>
              </w:rPr>
            </w:pPr>
            <w:r>
              <w:rPr>
                <w:rFonts w:ascii="Arial" w:cs="Arial" w:eastAsia="Arial" w:hAnsi="Arial"/>
                <w:sz w:val="18"/>
                <w:szCs w:val="18"/>
                <w:color w:val="auto"/>
              </w:rPr>
              <w:t>the inline XBRL document.</w:t>
            </w:r>
          </w:p>
        </w:tc>
        <w:tc>
          <w:tcPr>
            <w:tcW w:w="0" w:type="dxa"/>
            <w:vAlign w:val="bottom"/>
          </w:tcPr>
          <w:p>
            <w:pPr>
              <w:spacing w:after="0"/>
              <w:rPr>
                <w:sz w:val="1"/>
                <w:szCs w:val="1"/>
                <w:color w:val="auto"/>
              </w:rPr>
            </w:pPr>
          </w:p>
        </w:tc>
      </w:tr>
      <w:tr>
        <w:trPr>
          <w:trHeight w:val="296"/>
        </w:trPr>
        <w:tc>
          <w:tcPr>
            <w:tcW w:w="980" w:type="dxa"/>
            <w:vAlign w:val="bottom"/>
          </w:tcPr>
          <w:p>
            <w:pPr>
              <w:jc w:val="center"/>
              <w:ind w:right="213"/>
              <w:spacing w:after="0"/>
              <w:rPr>
                <w:sz w:val="20"/>
                <w:szCs w:val="20"/>
                <w:color w:val="auto"/>
              </w:rPr>
            </w:pPr>
            <w:r>
              <w:rPr>
                <w:rFonts w:ascii="Arial" w:cs="Arial" w:eastAsia="Arial" w:hAnsi="Arial"/>
                <w:sz w:val="18"/>
                <w:szCs w:val="18"/>
                <w:color w:val="auto"/>
                <w:w w:val="93"/>
              </w:rPr>
              <w:t>101.SCH</w:t>
            </w:r>
          </w:p>
        </w:tc>
        <w:tc>
          <w:tcPr>
            <w:tcW w:w="10040" w:type="dxa"/>
            <w:vAlign w:val="bottom"/>
            <w:gridSpan w:val="5"/>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83"/>
        </w:trPr>
        <w:tc>
          <w:tcPr>
            <w:tcW w:w="980" w:type="dxa"/>
            <w:vAlign w:val="bottom"/>
          </w:tcPr>
          <w:p>
            <w:pPr>
              <w:jc w:val="center"/>
              <w:ind w:right="213"/>
              <w:spacing w:after="0"/>
              <w:rPr>
                <w:sz w:val="20"/>
                <w:szCs w:val="20"/>
                <w:color w:val="auto"/>
              </w:rPr>
            </w:pPr>
            <w:r>
              <w:rPr>
                <w:rFonts w:ascii="Arial" w:cs="Arial" w:eastAsia="Arial" w:hAnsi="Arial"/>
                <w:sz w:val="18"/>
                <w:szCs w:val="18"/>
                <w:color w:val="auto"/>
                <w:w w:val="97"/>
              </w:rPr>
              <w:t>101.CAL</w:t>
            </w:r>
          </w:p>
        </w:tc>
        <w:tc>
          <w:tcPr>
            <w:tcW w:w="10040" w:type="dxa"/>
            <w:vAlign w:val="bottom"/>
            <w:gridSpan w:val="5"/>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83"/>
        </w:trPr>
        <w:tc>
          <w:tcPr>
            <w:tcW w:w="980" w:type="dxa"/>
            <w:vAlign w:val="bottom"/>
          </w:tcPr>
          <w:p>
            <w:pPr>
              <w:jc w:val="center"/>
              <w:ind w:right="213"/>
              <w:spacing w:after="0"/>
              <w:rPr>
                <w:sz w:val="20"/>
                <w:szCs w:val="20"/>
                <w:color w:val="auto"/>
              </w:rPr>
            </w:pPr>
            <w:r>
              <w:rPr>
                <w:rFonts w:ascii="Arial" w:cs="Arial" w:eastAsia="Arial" w:hAnsi="Arial"/>
                <w:sz w:val="18"/>
                <w:szCs w:val="18"/>
                <w:color w:val="auto"/>
                <w:w w:val="90"/>
              </w:rPr>
              <w:t>101.DEF</w:t>
            </w:r>
          </w:p>
        </w:tc>
        <w:tc>
          <w:tcPr>
            <w:tcW w:w="10040" w:type="dxa"/>
            <w:vAlign w:val="bottom"/>
            <w:gridSpan w:val="5"/>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83"/>
        </w:trPr>
        <w:tc>
          <w:tcPr>
            <w:tcW w:w="980" w:type="dxa"/>
            <w:vAlign w:val="bottom"/>
          </w:tcPr>
          <w:p>
            <w:pPr>
              <w:jc w:val="center"/>
              <w:ind w:right="213"/>
              <w:spacing w:after="0"/>
              <w:rPr>
                <w:sz w:val="20"/>
                <w:szCs w:val="20"/>
                <w:color w:val="auto"/>
              </w:rPr>
            </w:pPr>
            <w:r>
              <w:rPr>
                <w:rFonts w:ascii="Arial" w:cs="Arial" w:eastAsia="Arial" w:hAnsi="Arial"/>
                <w:sz w:val="18"/>
                <w:szCs w:val="18"/>
                <w:color w:val="auto"/>
                <w:w w:val="98"/>
              </w:rPr>
              <w:t>101.LAB</w:t>
            </w:r>
          </w:p>
        </w:tc>
        <w:tc>
          <w:tcPr>
            <w:tcW w:w="10040" w:type="dxa"/>
            <w:vAlign w:val="bottom"/>
            <w:gridSpan w:val="5"/>
          </w:tcPr>
          <w:p>
            <w:pPr>
              <w:spacing w:after="0"/>
              <w:rPr>
                <w:sz w:val="20"/>
                <w:szCs w:val="20"/>
                <w:color w:val="auto"/>
              </w:rPr>
            </w:pPr>
            <w:r>
              <w:rPr>
                <w:rFonts w:ascii="Arial" w:cs="Arial" w:eastAsia="Arial" w:hAnsi="Arial"/>
                <w:sz w:val="18"/>
                <w:szCs w:val="18"/>
                <w:color w:val="auto"/>
              </w:rPr>
              <w:t>XBRL Taxonomy Extension Labels Linkbase Document</w:t>
            </w:r>
          </w:p>
        </w:tc>
        <w:tc>
          <w:tcPr>
            <w:tcW w:w="0" w:type="dxa"/>
            <w:vAlign w:val="bottom"/>
          </w:tcPr>
          <w:p>
            <w:pPr>
              <w:spacing w:after="0"/>
              <w:rPr>
                <w:sz w:val="1"/>
                <w:szCs w:val="1"/>
                <w:color w:val="auto"/>
              </w:rPr>
            </w:pPr>
          </w:p>
        </w:tc>
      </w:tr>
      <w:tr>
        <w:trPr>
          <w:trHeight w:val="283"/>
        </w:trPr>
        <w:tc>
          <w:tcPr>
            <w:tcW w:w="980" w:type="dxa"/>
            <w:vAlign w:val="bottom"/>
          </w:tcPr>
          <w:p>
            <w:pPr>
              <w:jc w:val="center"/>
              <w:ind w:right="213"/>
              <w:spacing w:after="0"/>
              <w:rPr>
                <w:sz w:val="20"/>
                <w:szCs w:val="20"/>
                <w:color w:val="auto"/>
              </w:rPr>
            </w:pPr>
            <w:r>
              <w:rPr>
                <w:rFonts w:ascii="Arial" w:cs="Arial" w:eastAsia="Arial" w:hAnsi="Arial"/>
                <w:sz w:val="18"/>
                <w:szCs w:val="18"/>
                <w:color w:val="auto"/>
                <w:w w:val="88"/>
              </w:rPr>
              <w:t>101.PRE</w:t>
            </w:r>
          </w:p>
        </w:tc>
        <w:tc>
          <w:tcPr>
            <w:tcW w:w="10040" w:type="dxa"/>
            <w:vAlign w:val="bottom"/>
            <w:gridSpan w:val="5"/>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160" w:right="160" w:hanging="774"/>
        <w:spacing w:after="0" w:line="235" w:lineRule="auto"/>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cover page from this Quarterly Report on Form 10-Q for the quarter ended September 30, 2023, formatted in Inline XBRL (included in Exhibit 101)</w:t>
      </w:r>
    </w:p>
    <w:p>
      <w:pPr>
        <w:spacing w:after="0" w:line="67" w:lineRule="exact"/>
        <w:rPr>
          <w:sz w:val="20"/>
          <w:szCs w:val="20"/>
          <w:color w:val="auto"/>
        </w:rPr>
      </w:pPr>
    </w:p>
    <w:p>
      <w:pPr>
        <w:ind w:left="80"/>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1" w:name="page42"/>
    <w:bookmarkEnd w:id="41"/>
    <w:p>
      <w:pPr>
        <w:spacing w:after="0" w:line="153"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7"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56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5900" w:type="dxa"/>
            <w:vAlign w:val="bottom"/>
            <w:gridSpan w:val="2"/>
          </w:tcPr>
          <w:p>
            <w:pPr>
              <w:ind w:left="1860"/>
              <w:spacing w:after="0"/>
              <w:rPr>
                <w:sz w:val="20"/>
                <w:szCs w:val="20"/>
                <w:color w:val="auto"/>
              </w:rPr>
            </w:pPr>
            <w:r>
              <w:rPr>
                <w:rFonts w:ascii="Arial" w:cs="Arial" w:eastAsia="Arial" w:hAnsi="Arial"/>
                <w:sz w:val="18"/>
                <w:szCs w:val="18"/>
                <w:color w:val="auto"/>
              </w:rPr>
              <w:t>PROG Holdings, Inc.</w:t>
            </w:r>
          </w:p>
        </w:tc>
      </w:tr>
      <w:tr>
        <w:trPr>
          <w:trHeight w:val="230"/>
        </w:trPr>
        <w:tc>
          <w:tcPr>
            <w:tcW w:w="5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(Registrant)</w:t>
            </w:r>
          </w:p>
        </w:tc>
      </w:tr>
      <w:tr>
        <w:trPr>
          <w:trHeight w:val="283"/>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3280" w:type="dxa"/>
            <w:vAlign w:val="bottom"/>
          </w:tcPr>
          <w:p>
            <w:pPr>
              <w:ind w:left="160"/>
              <w:spacing w:after="0"/>
              <w:rPr>
                <w:sz w:val="20"/>
                <w:szCs w:val="20"/>
                <w:color w:val="auto"/>
              </w:rPr>
            </w:pPr>
            <w:r>
              <w:rPr>
                <w:rFonts w:ascii="Arial" w:cs="Arial" w:eastAsia="Arial" w:hAnsi="Arial"/>
                <w:sz w:val="18"/>
                <w:szCs w:val="18"/>
                <w:color w:val="auto"/>
              </w:rPr>
              <w:t>October 25, 2023</w:t>
            </w:r>
          </w:p>
        </w:tc>
        <w:tc>
          <w:tcPr>
            <w:tcW w:w="2340" w:type="dxa"/>
            <w:vAlign w:val="bottom"/>
          </w:tcPr>
          <w:p>
            <w:pPr>
              <w:ind w:left="1860"/>
              <w:spacing w:after="0"/>
              <w:rPr>
                <w:sz w:val="20"/>
                <w:szCs w:val="20"/>
                <w:color w:val="auto"/>
              </w:rPr>
            </w:pPr>
            <w:r>
              <w:rPr>
                <w:rFonts w:ascii="Arial" w:cs="Arial" w:eastAsia="Arial" w:hAnsi="Arial"/>
                <w:sz w:val="18"/>
                <w:szCs w:val="18"/>
                <w:color w:val="auto"/>
              </w:rPr>
              <w:t>By:</w:t>
            </w:r>
          </w:p>
        </w:tc>
        <w:tc>
          <w:tcPr>
            <w:tcW w:w="3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GARNER</w:t>
            </w:r>
          </w:p>
        </w:tc>
      </w:tr>
      <w:tr>
        <w:trPr>
          <w:trHeight w:val="222"/>
        </w:trPr>
        <w:tc>
          <w:tcPr>
            <w:tcW w:w="56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Brian Garner</w:t>
            </w:r>
          </w:p>
        </w:tc>
      </w:tr>
      <w:tr>
        <w:trPr>
          <w:trHeight w:val="230"/>
        </w:trPr>
        <w:tc>
          <w:tcPr>
            <w:tcW w:w="56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5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769"/>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3280" w:type="dxa"/>
            <w:vAlign w:val="bottom"/>
          </w:tcPr>
          <w:p>
            <w:pPr>
              <w:ind w:left="160"/>
              <w:spacing w:after="0"/>
              <w:rPr>
                <w:sz w:val="20"/>
                <w:szCs w:val="20"/>
                <w:color w:val="auto"/>
              </w:rPr>
            </w:pPr>
            <w:r>
              <w:rPr>
                <w:rFonts w:ascii="Arial" w:cs="Arial" w:eastAsia="Arial" w:hAnsi="Arial"/>
                <w:sz w:val="18"/>
                <w:szCs w:val="18"/>
                <w:color w:val="auto"/>
              </w:rPr>
              <w:t>October 25, 2023</w:t>
            </w:r>
          </w:p>
        </w:tc>
        <w:tc>
          <w:tcPr>
            <w:tcW w:w="2340" w:type="dxa"/>
            <w:vAlign w:val="bottom"/>
          </w:tcPr>
          <w:p>
            <w:pPr>
              <w:ind w:left="1860"/>
              <w:spacing w:after="0"/>
              <w:rPr>
                <w:sz w:val="20"/>
                <w:szCs w:val="20"/>
                <w:color w:val="auto"/>
              </w:rPr>
            </w:pPr>
            <w:r>
              <w:rPr>
                <w:rFonts w:ascii="Arial" w:cs="Arial" w:eastAsia="Arial" w:hAnsi="Arial"/>
                <w:sz w:val="18"/>
                <w:szCs w:val="18"/>
                <w:color w:val="auto"/>
              </w:rPr>
              <w:t>By:</w:t>
            </w:r>
          </w:p>
        </w:tc>
        <w:tc>
          <w:tcPr>
            <w:tcW w:w="3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 SEWELL</w:t>
            </w:r>
          </w:p>
        </w:tc>
      </w:tr>
      <w:tr>
        <w:trPr>
          <w:trHeight w:val="224"/>
        </w:trPr>
        <w:tc>
          <w:tcPr>
            <w:tcW w:w="56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Matt Sewell</w:t>
            </w:r>
          </w:p>
        </w:tc>
      </w:tr>
    </w:tbl>
    <w:p>
      <w:pPr>
        <w:ind w:left="6200"/>
        <w:spacing w:after="0"/>
        <w:rPr>
          <w:sz w:val="20"/>
          <w:szCs w:val="20"/>
          <w:color w:val="auto"/>
        </w:rPr>
      </w:pPr>
      <w:r>
        <w:rPr>
          <w:rFonts w:ascii="Arial" w:cs="Arial" w:eastAsia="Arial" w:hAnsi="Arial"/>
          <w:sz w:val="18"/>
          <w:szCs w:val="18"/>
          <w:color w:val="auto"/>
        </w:rPr>
        <w:t>Vice President, Financial Reporting</w:t>
      </w:r>
    </w:p>
    <w:p>
      <w:pPr>
        <w:spacing w:after="0" w:line="22"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780"/>
          </w:cols>
          <w:pgMar w:left="320" w:top="1440" w:right="79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CERTIFICATION PURSUANT TO RULE 13a-14(a)/15d-14(a)</w:t>
      </w:r>
    </w:p>
    <w:p>
      <w:pPr>
        <w:spacing w:after="0" w:line="3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Steven A. Michaels, certify that:</w:t>
      </w:r>
    </w:p>
    <w:p>
      <w:pPr>
        <w:spacing w:after="0" w:line="77" w:lineRule="exact"/>
        <w:rPr>
          <w:sz w:val="20"/>
          <w:szCs w:val="20"/>
          <w:color w:val="auto"/>
        </w:rPr>
      </w:pPr>
    </w:p>
    <w:p>
      <w:pPr>
        <w:ind w:left="440" w:hanging="414"/>
        <w:spacing w:after="0"/>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PROG Holdings, Inc.;</w:t>
      </w:r>
    </w:p>
    <w:p>
      <w:pPr>
        <w:spacing w:after="0" w:line="76" w:lineRule="exact"/>
        <w:rPr>
          <w:rFonts w:ascii="Arial" w:cs="Arial" w:eastAsia="Arial" w:hAnsi="Arial"/>
          <w:sz w:val="18"/>
          <w:szCs w:val="18"/>
          <w:color w:val="auto"/>
        </w:rPr>
      </w:pPr>
    </w:p>
    <w:p>
      <w:pPr>
        <w:jc w:val="both"/>
        <w:ind w:left="440" w:right="1160" w:hanging="414"/>
        <w:spacing w:after="0" w:line="224" w:lineRule="auto"/>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Arial" w:cs="Arial" w:eastAsia="Arial" w:hAnsi="Arial"/>
          <w:sz w:val="18"/>
          <w:szCs w:val="18"/>
          <w:color w:val="auto"/>
        </w:rPr>
      </w:pPr>
    </w:p>
    <w:p>
      <w:pPr>
        <w:ind w:left="440" w:right="1240" w:hanging="414"/>
        <w:spacing w:after="0" w:line="224" w:lineRule="auto"/>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8" w:lineRule="exact"/>
        <w:rPr>
          <w:rFonts w:ascii="Arial" w:cs="Arial" w:eastAsia="Arial" w:hAnsi="Arial"/>
          <w:sz w:val="18"/>
          <w:szCs w:val="18"/>
          <w:color w:val="auto"/>
        </w:rPr>
      </w:pPr>
    </w:p>
    <w:p>
      <w:pPr>
        <w:jc w:val="both"/>
        <w:ind w:left="440" w:right="1300" w:hanging="414"/>
        <w:spacing w:after="0" w:line="237" w:lineRule="auto"/>
        <w:tabs>
          <w:tab w:leader="none" w:pos="4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Arial" w:cs="Arial" w:eastAsia="Arial" w:hAnsi="Arial"/>
          <w:sz w:val="17"/>
          <w:szCs w:val="17"/>
          <w:color w:val="auto"/>
        </w:rPr>
      </w:pPr>
    </w:p>
    <w:p>
      <w:pPr>
        <w:ind w:left="900" w:right="1200" w:hanging="469"/>
        <w:spacing w:after="0" w:line="223" w:lineRule="auto"/>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54" w:lineRule="exact"/>
        <w:rPr>
          <w:rFonts w:ascii="Arial" w:cs="Arial" w:eastAsia="Arial" w:hAnsi="Arial"/>
          <w:sz w:val="18"/>
          <w:szCs w:val="18"/>
          <w:color w:val="auto"/>
        </w:rPr>
      </w:pPr>
    </w:p>
    <w:p>
      <w:pPr>
        <w:ind w:left="900" w:right="1220" w:hanging="469"/>
        <w:spacing w:after="0" w:line="223" w:lineRule="auto"/>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Arial" w:cs="Arial" w:eastAsia="Arial" w:hAnsi="Arial"/>
          <w:sz w:val="18"/>
          <w:szCs w:val="18"/>
          <w:color w:val="auto"/>
        </w:rPr>
      </w:pPr>
    </w:p>
    <w:p>
      <w:pPr>
        <w:ind w:left="900" w:right="1140" w:hanging="469"/>
        <w:spacing w:after="0" w:line="224" w:lineRule="auto"/>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68" w:lineRule="exact"/>
        <w:rPr>
          <w:rFonts w:ascii="Arial" w:cs="Arial" w:eastAsia="Arial" w:hAnsi="Arial"/>
          <w:sz w:val="18"/>
          <w:szCs w:val="18"/>
          <w:color w:val="auto"/>
        </w:rPr>
      </w:pPr>
    </w:p>
    <w:p>
      <w:pPr>
        <w:ind w:left="900" w:right="1140" w:hanging="469"/>
        <w:spacing w:after="0" w:line="224" w:lineRule="auto"/>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68" w:lineRule="exact"/>
        <w:rPr>
          <w:rFonts w:ascii="Arial" w:cs="Arial" w:eastAsia="Arial" w:hAnsi="Arial"/>
          <w:sz w:val="18"/>
          <w:szCs w:val="18"/>
          <w:color w:val="auto"/>
        </w:rPr>
      </w:pPr>
    </w:p>
    <w:p>
      <w:pPr>
        <w:ind w:left="440" w:right="1360" w:hanging="414"/>
        <w:spacing w:after="0" w:line="224" w:lineRule="auto"/>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68" w:lineRule="exact"/>
        <w:rPr>
          <w:rFonts w:ascii="Arial" w:cs="Arial" w:eastAsia="Arial" w:hAnsi="Arial"/>
          <w:sz w:val="18"/>
          <w:szCs w:val="18"/>
          <w:color w:val="auto"/>
        </w:rPr>
      </w:pPr>
    </w:p>
    <w:p>
      <w:pPr>
        <w:ind w:left="1020" w:right="1420" w:hanging="589"/>
        <w:spacing w:after="0" w:line="224" w:lineRule="auto"/>
        <w:tabs>
          <w:tab w:leader="none" w:pos="10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8" w:lineRule="exact"/>
        <w:rPr>
          <w:rFonts w:ascii="Arial" w:cs="Arial" w:eastAsia="Arial" w:hAnsi="Arial"/>
          <w:sz w:val="18"/>
          <w:szCs w:val="18"/>
          <w:color w:val="auto"/>
        </w:rPr>
      </w:pPr>
    </w:p>
    <w:p>
      <w:pPr>
        <w:ind w:left="1020" w:right="1200" w:hanging="589"/>
        <w:spacing w:after="0" w:line="235" w:lineRule="auto"/>
        <w:tabs>
          <w:tab w:leader="none" w:pos="10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520"/>
        <w:spacing w:after="0"/>
        <w:tabs>
          <w:tab w:leader="none" w:pos="1040" w:val="left"/>
          <w:tab w:leader="none" w:pos="5520" w:val="left"/>
        </w:tabs>
        <w:rPr>
          <w:sz w:val="20"/>
          <w:szCs w:val="20"/>
          <w:color w:val="auto"/>
        </w:rPr>
      </w:pPr>
      <w:r>
        <w:rPr>
          <w:rFonts w:ascii="Arial" w:cs="Arial" w:eastAsia="Arial" w:hAnsi="Arial"/>
          <w:sz w:val="18"/>
          <w:szCs w:val="18"/>
          <w:color w:val="auto"/>
        </w:rPr>
        <w:t>Date:</w:t>
        <w:tab/>
        <w:t>October 25, 2023</w:t>
      </w:r>
      <w:r>
        <w:rPr>
          <w:sz w:val="20"/>
          <w:szCs w:val="20"/>
          <w:color w:val="auto"/>
        </w:rPr>
        <w:tab/>
      </w:r>
      <w:r>
        <w:rPr>
          <w:rFonts w:ascii="Arial" w:cs="Arial" w:eastAsia="Arial" w:hAnsi="Arial"/>
          <w:sz w:val="16"/>
          <w:szCs w:val="16"/>
          <w:color w:val="auto"/>
        </w:rPr>
        <w:t>/s/ Steven A. Michaels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3511550</wp:posOffset>
            </wp:positionH>
            <wp:positionV relativeFrom="paragraph">
              <wp:posOffset>14605</wp:posOffset>
            </wp:positionV>
            <wp:extent cx="189420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pacing w:after="0" w:line="4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Steven A. Michaels</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0120"/>
          </w:cols>
          <w:pgMar w:left="1440" w:top="931"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ind w:left="2182"/>
        <w:spacing w:after="0"/>
        <w:rPr>
          <w:sz w:val="20"/>
          <w:szCs w:val="20"/>
          <w:color w:val="auto"/>
        </w:rPr>
      </w:pPr>
      <w:r>
        <w:rPr>
          <w:rFonts w:ascii="Arial" w:cs="Arial" w:eastAsia="Arial" w:hAnsi="Arial"/>
          <w:sz w:val="18"/>
          <w:szCs w:val="18"/>
          <w:b w:val="1"/>
          <w:bCs w:val="1"/>
          <w:color w:val="auto"/>
        </w:rPr>
        <w:t>CERTIFICATION PURSUANT TO RULE 13a-14(a)/15d-14(a)</w:t>
      </w:r>
    </w:p>
    <w:p>
      <w:pPr>
        <w:spacing w:after="0" w:line="310" w:lineRule="exact"/>
        <w:rPr>
          <w:sz w:val="20"/>
          <w:szCs w:val="20"/>
          <w:color w:val="auto"/>
        </w:rPr>
      </w:pPr>
    </w:p>
    <w:p>
      <w:pPr>
        <w:ind w:left="402"/>
        <w:spacing w:after="0"/>
        <w:rPr>
          <w:sz w:val="20"/>
          <w:szCs w:val="20"/>
          <w:color w:val="auto"/>
        </w:rPr>
      </w:pPr>
      <w:r>
        <w:rPr>
          <w:rFonts w:ascii="Arial" w:cs="Arial" w:eastAsia="Arial" w:hAnsi="Arial"/>
          <w:sz w:val="18"/>
          <w:szCs w:val="18"/>
          <w:color w:val="auto"/>
        </w:rPr>
        <w:t>I, Brian Garner, certify that:</w:t>
      </w:r>
    </w:p>
    <w:p>
      <w:pPr>
        <w:spacing w:after="0" w:line="77" w:lineRule="exact"/>
        <w:rPr>
          <w:sz w:val="20"/>
          <w:szCs w:val="20"/>
          <w:color w:val="auto"/>
        </w:rPr>
      </w:pPr>
    </w:p>
    <w:p>
      <w:pPr>
        <w:ind w:left="402" w:hanging="402"/>
        <w:spacing w:after="0"/>
        <w:tabs>
          <w:tab w:leader="none" w:pos="402"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PROG Holdings, Inc.;</w:t>
      </w:r>
    </w:p>
    <w:p>
      <w:pPr>
        <w:spacing w:after="0" w:line="76" w:lineRule="exact"/>
        <w:rPr>
          <w:rFonts w:ascii="Arial" w:cs="Arial" w:eastAsia="Arial" w:hAnsi="Arial"/>
          <w:sz w:val="18"/>
          <w:szCs w:val="18"/>
          <w:color w:val="auto"/>
        </w:rPr>
      </w:pPr>
    </w:p>
    <w:p>
      <w:pPr>
        <w:jc w:val="both"/>
        <w:ind w:left="402" w:right="1280" w:hanging="402"/>
        <w:spacing w:after="0" w:line="224" w:lineRule="auto"/>
        <w:tabs>
          <w:tab w:leader="none" w:pos="402"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Arial" w:cs="Arial" w:eastAsia="Arial" w:hAnsi="Arial"/>
          <w:sz w:val="18"/>
          <w:szCs w:val="18"/>
          <w:color w:val="auto"/>
        </w:rPr>
      </w:pPr>
    </w:p>
    <w:p>
      <w:pPr>
        <w:ind w:left="402" w:right="1060" w:hanging="402"/>
        <w:spacing w:after="0" w:line="224" w:lineRule="auto"/>
        <w:tabs>
          <w:tab w:leader="none" w:pos="402"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8" w:lineRule="exact"/>
        <w:rPr>
          <w:rFonts w:ascii="Arial" w:cs="Arial" w:eastAsia="Arial" w:hAnsi="Arial"/>
          <w:sz w:val="18"/>
          <w:szCs w:val="18"/>
          <w:color w:val="auto"/>
        </w:rPr>
      </w:pPr>
    </w:p>
    <w:p>
      <w:pPr>
        <w:ind w:left="402" w:right="1180" w:hanging="402"/>
        <w:spacing w:after="0" w:line="237" w:lineRule="auto"/>
        <w:tabs>
          <w:tab w:leader="none" w:pos="402"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Arial" w:cs="Arial" w:eastAsia="Arial" w:hAnsi="Arial"/>
          <w:sz w:val="17"/>
          <w:szCs w:val="17"/>
          <w:color w:val="auto"/>
        </w:rPr>
      </w:pPr>
    </w:p>
    <w:p>
      <w:pPr>
        <w:ind w:left="922" w:right="1340" w:hanging="517"/>
        <w:spacing w:after="0" w:line="223" w:lineRule="auto"/>
        <w:tabs>
          <w:tab w:leader="none" w:pos="922"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Arial" w:cs="Arial" w:eastAsia="Arial" w:hAnsi="Arial"/>
          <w:sz w:val="18"/>
          <w:szCs w:val="18"/>
          <w:color w:val="auto"/>
        </w:rPr>
      </w:pPr>
    </w:p>
    <w:p>
      <w:pPr>
        <w:ind w:left="922" w:right="1060" w:hanging="517"/>
        <w:spacing w:after="0" w:line="223" w:lineRule="auto"/>
        <w:tabs>
          <w:tab w:leader="none" w:pos="922"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Arial" w:cs="Arial" w:eastAsia="Arial" w:hAnsi="Arial"/>
          <w:sz w:val="18"/>
          <w:szCs w:val="18"/>
          <w:color w:val="auto"/>
        </w:rPr>
      </w:pPr>
    </w:p>
    <w:p>
      <w:pPr>
        <w:jc w:val="both"/>
        <w:ind w:left="922" w:right="1180" w:hanging="517"/>
        <w:spacing w:after="0" w:line="224" w:lineRule="auto"/>
        <w:tabs>
          <w:tab w:leader="none" w:pos="922" w:val="left"/>
        </w:tabs>
        <w:numPr>
          <w:ilvl w:val="1"/>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8" w:lineRule="exact"/>
        <w:rPr>
          <w:rFonts w:ascii="Arial" w:cs="Arial" w:eastAsia="Arial" w:hAnsi="Arial"/>
          <w:sz w:val="18"/>
          <w:szCs w:val="18"/>
          <w:color w:val="auto"/>
        </w:rPr>
      </w:pPr>
    </w:p>
    <w:p>
      <w:pPr>
        <w:ind w:left="922" w:right="1100" w:hanging="517"/>
        <w:spacing w:after="0" w:line="224" w:lineRule="auto"/>
        <w:tabs>
          <w:tab w:leader="none" w:pos="922"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68" w:lineRule="exact"/>
        <w:rPr>
          <w:rFonts w:ascii="Arial" w:cs="Arial" w:eastAsia="Arial" w:hAnsi="Arial"/>
          <w:sz w:val="18"/>
          <w:szCs w:val="18"/>
          <w:color w:val="auto"/>
        </w:rPr>
      </w:pPr>
    </w:p>
    <w:p>
      <w:pPr>
        <w:ind w:left="402" w:right="1120" w:hanging="402"/>
        <w:spacing w:after="0" w:line="224" w:lineRule="auto"/>
        <w:tabs>
          <w:tab w:leader="none" w:pos="402"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68" w:lineRule="exact"/>
        <w:rPr>
          <w:rFonts w:ascii="Arial" w:cs="Arial" w:eastAsia="Arial" w:hAnsi="Arial"/>
          <w:sz w:val="18"/>
          <w:szCs w:val="18"/>
          <w:color w:val="auto"/>
        </w:rPr>
      </w:pPr>
    </w:p>
    <w:p>
      <w:pPr>
        <w:ind w:left="1022" w:right="1040" w:hanging="617"/>
        <w:spacing w:after="0" w:line="224" w:lineRule="auto"/>
        <w:tabs>
          <w:tab w:leader="none" w:pos="1022"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8" w:lineRule="exact"/>
        <w:rPr>
          <w:rFonts w:ascii="Arial" w:cs="Arial" w:eastAsia="Arial" w:hAnsi="Arial"/>
          <w:sz w:val="18"/>
          <w:szCs w:val="18"/>
          <w:color w:val="auto"/>
        </w:rPr>
      </w:pPr>
    </w:p>
    <w:p>
      <w:pPr>
        <w:ind w:left="1022" w:right="1100" w:hanging="617"/>
        <w:spacing w:after="0" w:line="235" w:lineRule="auto"/>
        <w:tabs>
          <w:tab w:leader="none" w:pos="1022"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51" w:lineRule="exact"/>
        <w:rPr>
          <w:sz w:val="20"/>
          <w:szCs w:val="20"/>
          <w:color w:val="auto"/>
        </w:rPr>
      </w:pPr>
    </w:p>
    <w:p>
      <w:pPr>
        <w:ind w:left="662"/>
        <w:spacing w:after="0"/>
        <w:tabs>
          <w:tab w:leader="none" w:pos="1281" w:val="left"/>
          <w:tab w:leader="none" w:pos="5841" w:val="left"/>
        </w:tabs>
        <w:rPr>
          <w:sz w:val="20"/>
          <w:szCs w:val="20"/>
          <w:color w:val="auto"/>
        </w:rPr>
      </w:pPr>
      <w:r>
        <w:rPr>
          <w:rFonts w:ascii="Arial" w:cs="Arial" w:eastAsia="Arial" w:hAnsi="Arial"/>
          <w:sz w:val="18"/>
          <w:szCs w:val="18"/>
          <w:color w:val="auto"/>
        </w:rPr>
        <w:t>Date:</w:t>
        <w:tab/>
        <w:t>October 25, 2023</w:t>
      </w:r>
      <w:r>
        <w:rPr>
          <w:sz w:val="20"/>
          <w:szCs w:val="20"/>
          <w:color w:val="auto"/>
        </w:rPr>
        <w:tab/>
      </w:r>
      <w:r>
        <w:rPr>
          <w:rFonts w:ascii="Arial" w:cs="Arial" w:eastAsia="Arial" w:hAnsi="Arial"/>
          <w:sz w:val="16"/>
          <w:szCs w:val="16"/>
          <w:color w:val="auto"/>
        </w:rPr>
        <w:t>/s/ Brian Garner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3713480</wp:posOffset>
            </wp:positionH>
            <wp:positionV relativeFrom="paragraph">
              <wp:posOffset>14605</wp:posOffset>
            </wp:positionV>
            <wp:extent cx="172275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722755" cy="8890"/>
                    </a:xfrm>
                    <a:prstGeom prst="rect">
                      <a:avLst/>
                    </a:prstGeom>
                    <a:noFill/>
                  </pic:spPr>
                </pic:pic>
              </a:graphicData>
            </a:graphic>
          </wp:anchor>
        </w:drawing>
      </w:r>
    </w:p>
    <w:p>
      <w:pPr>
        <w:spacing w:after="0" w:line="30" w:lineRule="exact"/>
        <w:rPr>
          <w:sz w:val="20"/>
          <w:szCs w:val="20"/>
          <w:color w:val="auto"/>
        </w:rPr>
      </w:pPr>
    </w:p>
    <w:p>
      <w:pPr>
        <w:ind w:left="5862"/>
        <w:spacing w:after="0"/>
        <w:rPr>
          <w:sz w:val="20"/>
          <w:szCs w:val="20"/>
          <w:color w:val="auto"/>
        </w:rPr>
      </w:pPr>
      <w:r>
        <w:rPr>
          <w:rFonts w:ascii="Arial" w:cs="Arial" w:eastAsia="Arial" w:hAnsi="Arial"/>
          <w:sz w:val="18"/>
          <w:szCs w:val="18"/>
          <w:color w:val="auto"/>
        </w:rPr>
        <w:t>Brian Garner</w:t>
      </w:r>
    </w:p>
    <w:p>
      <w:pPr>
        <w:spacing w:after="0" w:line="50" w:lineRule="exact"/>
        <w:rPr>
          <w:sz w:val="20"/>
          <w:szCs w:val="20"/>
          <w:color w:val="auto"/>
        </w:rPr>
      </w:pPr>
    </w:p>
    <w:p>
      <w:pPr>
        <w:ind w:left="5862"/>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0222"/>
          </w:cols>
          <w:pgMar w:left="1338" w:top="891"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CERTIFICATION PURSUANT TO 18 U.S.C. SECTION 1350, AS ADOPTED</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38" w:lineRule="exact"/>
        <w:rPr>
          <w:sz w:val="20"/>
          <w:szCs w:val="20"/>
          <w:color w:val="auto"/>
        </w:rPr>
      </w:pPr>
    </w:p>
    <w:p>
      <w:pPr>
        <w:ind w:left="60"/>
        <w:spacing w:after="0" w:line="277" w:lineRule="auto"/>
        <w:rPr>
          <w:sz w:val="20"/>
          <w:szCs w:val="20"/>
          <w:color w:val="auto"/>
        </w:rPr>
      </w:pPr>
      <w:r>
        <w:rPr>
          <w:rFonts w:ascii="Arial" w:cs="Arial" w:eastAsia="Arial" w:hAnsi="Arial"/>
          <w:sz w:val="18"/>
          <w:szCs w:val="18"/>
          <w:color w:val="auto"/>
        </w:rPr>
        <w:t>I, Steven A. Michaels, Chief Executive Officer of PROG Holdings, Inc. (the "Company"), certify, pursuant to Section 906 of the Sarbanes-Oxley Act of 2002, 18 U.S.C. Section 1350 that:</w:t>
      </w:r>
    </w:p>
    <w:p>
      <w:pPr>
        <w:spacing w:after="0" w:line="197" w:lineRule="exact"/>
        <w:rPr>
          <w:sz w:val="20"/>
          <w:szCs w:val="20"/>
          <w:color w:val="auto"/>
        </w:rPr>
      </w:pPr>
    </w:p>
    <w:p>
      <w:pPr>
        <w:ind w:left="60" w:right="340"/>
        <w:spacing w:after="0" w:line="277" w:lineRule="auto"/>
        <w:rPr>
          <w:sz w:val="20"/>
          <w:szCs w:val="20"/>
          <w:color w:val="auto"/>
        </w:rPr>
      </w:pPr>
      <w:r>
        <w:rPr>
          <w:rFonts w:ascii="Arial" w:cs="Arial" w:eastAsia="Arial" w:hAnsi="Arial"/>
          <w:sz w:val="18"/>
          <w:szCs w:val="18"/>
          <w:color w:val="auto"/>
        </w:rPr>
        <w:t>The Quarterly Report on Form 10-Q of the Company for the quarter ended September 30, 2023 (the "Report") fully complies with the requirements of Section 13(a) of the Securities Exchange Act of 1934 (15 U.S.C. 78m); and</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80" w:type="dxa"/>
            <w:vAlign w:val="bottom"/>
          </w:tcPr>
          <w:p>
            <w:pPr>
              <w:spacing w:after="0"/>
              <w:rPr>
                <w:sz w:val="20"/>
                <w:szCs w:val="20"/>
                <w:color w:val="auto"/>
              </w:rPr>
            </w:pPr>
            <w:r>
              <w:rPr>
                <w:rFonts w:ascii="Arial" w:cs="Arial" w:eastAsia="Arial" w:hAnsi="Arial"/>
                <w:sz w:val="18"/>
                <w:szCs w:val="18"/>
                <w:color w:val="auto"/>
              </w:rPr>
              <w:t>Date:   October 25, 2023</w:t>
            </w:r>
          </w:p>
        </w:tc>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Steven A. Michaels</w:t>
            </w:r>
          </w:p>
        </w:tc>
      </w:tr>
      <w:tr>
        <w:trPr>
          <w:trHeight w:val="222"/>
        </w:trPr>
        <w:tc>
          <w:tcPr>
            <w:tcW w:w="7580" w:type="dxa"/>
            <w:vAlign w:val="bottom"/>
          </w:tcPr>
          <w:p>
            <w:pPr>
              <w:spacing w:after="0"/>
              <w:rPr>
                <w:sz w:val="19"/>
                <w:szCs w:val="19"/>
                <w:color w:val="auto"/>
              </w:rPr>
            </w:pPr>
          </w:p>
        </w:tc>
        <w:tc>
          <w:tcPr>
            <w:tcW w:w="3140" w:type="dxa"/>
            <w:vAlign w:val="bottom"/>
          </w:tcPr>
          <w:p>
            <w:pPr>
              <w:ind w:left="20"/>
              <w:spacing w:after="0"/>
              <w:rPr>
                <w:sz w:val="20"/>
                <w:szCs w:val="20"/>
                <w:color w:val="auto"/>
              </w:rPr>
            </w:pPr>
            <w:r>
              <w:rPr>
                <w:rFonts w:ascii="Arial" w:cs="Arial" w:eastAsia="Arial" w:hAnsi="Arial"/>
                <w:sz w:val="18"/>
                <w:szCs w:val="18"/>
                <w:color w:val="auto"/>
              </w:rPr>
              <w:t>Steven A. Michaels</w:t>
            </w:r>
          </w:p>
        </w:tc>
      </w:tr>
      <w:tr>
        <w:trPr>
          <w:trHeight w:val="230"/>
        </w:trPr>
        <w:tc>
          <w:tcPr>
            <w:tcW w:w="7580" w:type="dxa"/>
            <w:vAlign w:val="bottom"/>
          </w:tcPr>
          <w:p>
            <w:pPr>
              <w:spacing w:after="0"/>
              <w:rPr>
                <w:sz w:val="20"/>
                <w:szCs w:val="20"/>
                <w:color w:val="auto"/>
              </w:rPr>
            </w:pPr>
          </w:p>
        </w:tc>
        <w:tc>
          <w:tcPr>
            <w:tcW w:w="314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20"/>
          </w:cols>
          <w:pgMar w:left="340" w:top="891"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CERTIFICATION PURSUANT TO 18 U.S.C. SECTION 1350, AS ADOPTED</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38" w:lineRule="exact"/>
        <w:rPr>
          <w:sz w:val="20"/>
          <w:szCs w:val="20"/>
          <w:color w:val="auto"/>
        </w:rPr>
      </w:pPr>
    </w:p>
    <w:p>
      <w:pPr>
        <w:ind w:left="60"/>
        <w:spacing w:after="0"/>
        <w:rPr>
          <w:sz w:val="20"/>
          <w:szCs w:val="20"/>
          <w:color w:val="auto"/>
        </w:rPr>
      </w:pPr>
      <w:r>
        <w:rPr>
          <w:rFonts w:ascii="Arial" w:cs="Arial" w:eastAsia="Arial" w:hAnsi="Arial"/>
          <w:sz w:val="16"/>
          <w:szCs w:val="16"/>
          <w:color w:val="auto"/>
        </w:rPr>
        <w:t>I, Brian Garner, Chief Financial Officer of PROG Holdings, Inc. (the "Company"), certify, pursuant to Section 906 of the Sarbanes-Oxley Act of 2002, 18</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U.S.C. Section 1350 that:</w:t>
      </w:r>
    </w:p>
    <w:p>
      <w:pPr>
        <w:spacing w:after="0" w:line="238" w:lineRule="exact"/>
        <w:rPr>
          <w:sz w:val="20"/>
          <w:szCs w:val="20"/>
          <w:color w:val="auto"/>
        </w:rPr>
      </w:pPr>
    </w:p>
    <w:p>
      <w:pPr>
        <w:ind w:left="60"/>
        <w:spacing w:after="0" w:line="277" w:lineRule="auto"/>
        <w:rPr>
          <w:sz w:val="20"/>
          <w:szCs w:val="20"/>
          <w:color w:val="auto"/>
        </w:rPr>
      </w:pPr>
      <w:r>
        <w:rPr>
          <w:rFonts w:ascii="Arial" w:cs="Arial" w:eastAsia="Arial" w:hAnsi="Arial"/>
          <w:sz w:val="18"/>
          <w:szCs w:val="18"/>
          <w:color w:val="auto"/>
        </w:rPr>
        <w:t>The Quarterly Report on Form 10-Q of the Company for the quarter ended September 30, 2023 (the "Report") fully complies with the requirements of Section 13(a) of the Securities Exchange Act of 1934 (15 U.S.C. 78m); and</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20" w:type="dxa"/>
            <w:vAlign w:val="bottom"/>
          </w:tcPr>
          <w:p>
            <w:pPr>
              <w:spacing w:after="0"/>
              <w:rPr>
                <w:sz w:val="20"/>
                <w:szCs w:val="20"/>
                <w:color w:val="auto"/>
              </w:rPr>
            </w:pPr>
            <w:r>
              <w:rPr>
                <w:rFonts w:ascii="Arial" w:cs="Arial" w:eastAsia="Arial" w:hAnsi="Arial"/>
                <w:sz w:val="18"/>
                <w:szCs w:val="18"/>
                <w:color w:val="auto"/>
              </w:rPr>
              <w:t>Date:   October 25, 2023</w:t>
            </w:r>
          </w:p>
        </w:tc>
        <w:tc>
          <w:tcPr>
            <w:tcW w:w="3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Brian Garner</w:t>
            </w:r>
          </w:p>
        </w:tc>
      </w:tr>
      <w:tr>
        <w:trPr>
          <w:trHeight w:val="222"/>
        </w:trPr>
        <w:tc>
          <w:tcPr>
            <w:tcW w:w="7620" w:type="dxa"/>
            <w:vAlign w:val="bottom"/>
          </w:tcPr>
          <w:p>
            <w:pPr>
              <w:spacing w:after="0"/>
              <w:rPr>
                <w:sz w:val="19"/>
                <w:szCs w:val="19"/>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rPr>
              <w:t>Brian Garner</w:t>
            </w:r>
          </w:p>
        </w:tc>
      </w:tr>
      <w:tr>
        <w:trPr>
          <w:trHeight w:val="230"/>
        </w:trPr>
        <w:tc>
          <w:tcPr>
            <w:tcW w:w="7620" w:type="dxa"/>
            <w:vAlign w:val="bottom"/>
          </w:tcPr>
          <w:p>
            <w:pPr>
              <w:spacing w:after="0"/>
              <w:rPr>
                <w:sz w:val="20"/>
                <w:szCs w:val="20"/>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220"/>
      </w:cols>
      <w:pgMar w:left="34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bullet"/>
      <w:start w:val="1"/>
    </w:lvl>
  </w:abstractNum>
  <w:abstractNum w:abstractNumId="3">
    <w:nsid w:val="DED7263"/>
    <w:multiLevelType w:val="hybridMultilevel"/>
    <w:lvl w:ilvl="0">
      <w:lvlJc w:val="left"/>
      <w:lvlText w:val="1"/>
      <w:numFmt w:val="bullet"/>
      <w:start w:val="1"/>
    </w:lvl>
  </w:abstractNum>
  <w:abstractNum w:abstractNumId="4">
    <w:nsid w:val="7FDCC233"/>
    <w:multiLevelType w:val="hybridMultilevel"/>
    <w:lvl w:ilvl="0">
      <w:lvlJc w:val="left"/>
      <w:lvlText w:val="1"/>
      <w:numFmt w:val="bullet"/>
      <w:start w:val="1"/>
    </w:lvl>
  </w:abstractNum>
  <w:abstractNum w:abstractNumId="5">
    <w:nsid w:val="1BEFD79F"/>
    <w:multiLevelType w:val="hybridMultilevel"/>
    <w:lvl w:ilvl="0">
      <w:lvlJc w:val="left"/>
      <w:lvlText w:val="2"/>
      <w:numFmt w:val="bullet"/>
      <w:start w:val="1"/>
    </w:lvl>
  </w:abstractNum>
  <w:abstractNum w:abstractNumId="6">
    <w:nsid w:val="41A7C4C9"/>
    <w:multiLevelType w:val="hybridMultilevel"/>
    <w:lvl w:ilvl="0">
      <w:lvlJc w:val="left"/>
      <w:lvlText w:val="1"/>
      <w:numFmt w:val="bullet"/>
      <w:start w:val="1"/>
    </w:lvl>
  </w:abstractNum>
  <w:abstractNum w:abstractNumId="7">
    <w:nsid w:val="6B68079A"/>
    <w:multiLevelType w:val="hybridMultilevel"/>
    <w:lvl w:ilvl="0">
      <w:lvlJc w:val="left"/>
      <w:lvlText w:val="2"/>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1"/>
      <w:numFmt w:val="bullet"/>
      <w:start w:val="1"/>
    </w:lvl>
  </w:abstractNum>
  <w:abstractNum w:abstractNumId="10">
    <w:nsid w:val="519B500D"/>
    <w:multiLevelType w:val="hybridMultilevel"/>
    <w:lvl w:ilvl="0">
      <w:lvlJc w:val="left"/>
      <w:lvlText w:val="2"/>
      <w:numFmt w:val="bullet"/>
      <w:start w:val="1"/>
    </w:lvl>
  </w:abstractNum>
  <w:abstractNum w:abstractNumId="11">
    <w:nsid w:val="431BD7B7"/>
    <w:multiLevelType w:val="hybridMultilevel"/>
    <w:lvl w:ilvl="0">
      <w:lvlJc w:val="left"/>
      <w:lvlText w:val="3"/>
      <w:numFmt w:val="bullet"/>
      <w:start w:val="1"/>
    </w:lvl>
  </w:abstractNum>
  <w:abstractNum w:abstractNumId="12">
    <w:nsid w:val="3F2DBA31"/>
    <w:multiLevelType w:val="hybridMultilevel"/>
    <w:lvl w:ilvl="0">
      <w:lvlJc w:val="left"/>
      <w:lvlText w:val="4"/>
      <w:numFmt w:val="bullet"/>
      <w:start w:val="1"/>
    </w:lvl>
  </w:abstractNum>
  <w:abstractNum w:abstractNumId="13">
    <w:nsid w:val="7C83E458"/>
    <w:multiLevelType w:val="hybridMultilevel"/>
    <w:lvl w:ilvl="0">
      <w:lvlJc w:val="left"/>
      <w:lvlText w:val="1"/>
      <w:numFmt w:val="bullet"/>
      <w:start w:val="1"/>
    </w:lvl>
  </w:abstractNum>
  <w:abstractNum w:abstractNumId="14">
    <w:nsid w:val="257130A3"/>
    <w:multiLevelType w:val="hybridMultilevel"/>
    <w:lvl w:ilvl="0">
      <w:lvlJc w:val="left"/>
      <w:lvlText w:val="2"/>
      <w:numFmt w:val="bullet"/>
      <w:start w:val="1"/>
    </w:lvl>
  </w:abstractNum>
  <w:abstractNum w:abstractNumId="15">
    <w:nsid w:val="62BBD95A"/>
    <w:multiLevelType w:val="hybridMultilevel"/>
    <w:lvl w:ilvl="0">
      <w:lvlJc w:val="left"/>
      <w:lvlText w:val="3"/>
      <w:numFmt w:val="bullet"/>
      <w:start w:val="1"/>
    </w:lvl>
  </w:abstractNum>
  <w:abstractNum w:abstractNumId="16">
    <w:nsid w:val="436C6125"/>
    <w:multiLevelType w:val="hybridMultilevel"/>
    <w:lvl w:ilvl="0">
      <w:lvlJc w:val="left"/>
      <w:lvlText w:val="4"/>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1"/>
      <w:numFmt w:val="bullet"/>
      <w:start w:val="1"/>
    </w:lvl>
  </w:abstractNum>
  <w:abstractNum w:abstractNumId="21">
    <w:nsid w:val="2D1D5AE9"/>
    <w:multiLevelType w:val="hybridMultilevel"/>
    <w:lvl w:ilvl="0">
      <w:lvlJc w:val="left"/>
      <w:lvlText w:val="%1"/>
      <w:numFmt w:val="decimal"/>
      <w:start w:val="104"/>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2023-10-25T08:30:29Z</dcterms:created>
  <dcterms:modified xsi:type="dcterms:W3CDTF">2023-10-25T08:30:29Z</dcterms:modified>
</cp:coreProperties>
</file>