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7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7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________________________________</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_________________________________</w:t>
      </w:r>
    </w:p>
    <w:p>
      <w:pPr>
        <w:spacing w:after="0" w:line="118" w:lineRule="exact"/>
        <w:rPr>
          <w:sz w:val="24"/>
          <w:szCs w:val="24"/>
          <w:color w:val="auto"/>
        </w:rPr>
      </w:pPr>
    </w:p>
    <w:p>
      <w:pPr>
        <w:ind w:left="290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Georgia</w:t>
      </w:r>
      <w:r>
        <w:rPr>
          <w:sz w:val="20"/>
          <w:szCs w:val="20"/>
          <w:color w:val="auto"/>
        </w:rPr>
        <w:tab/>
      </w:r>
      <w:r>
        <w:rPr>
          <w:rFonts w:ascii="Times New Roman" w:cs="Times New Roman" w:eastAsia="Times New Roman" w:hAnsi="Times New Roman"/>
          <w:sz w:val="18"/>
          <w:szCs w:val="18"/>
          <w:b w:val="1"/>
          <w:bCs w:val="1"/>
          <w:color w:val="auto"/>
        </w:rPr>
        <w:t>85-2484385</w:t>
      </w:r>
    </w:p>
    <w:p>
      <w:pPr>
        <w:spacing w:after="0" w:line="39" w:lineRule="exact"/>
        <w:rPr>
          <w:sz w:val="24"/>
          <w:szCs w:val="24"/>
          <w:color w:val="auto"/>
        </w:rPr>
      </w:pPr>
    </w:p>
    <w:p>
      <w:pPr>
        <w:ind w:left="230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 R. S. Employer</w:t>
      </w:r>
    </w:p>
    <w:p>
      <w:pPr>
        <w:ind w:left="226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Times New Roman" w:cs="Times New Roman" w:eastAsia="Times New Roman" w:hAnsi="Times New Roman"/>
          <w:sz w:val="18"/>
          <w:szCs w:val="18"/>
          <w:b w:val="1"/>
          <w:bCs w:val="1"/>
          <w:color w:val="auto"/>
        </w:rPr>
        <w:t>256 W. Data Drive</w:t>
        <w:tab/>
        <w:t>Draper,</w:t>
      </w:r>
      <w:r>
        <w:rPr>
          <w:sz w:val="20"/>
          <w:szCs w:val="20"/>
          <w:color w:val="auto"/>
        </w:rPr>
        <w:tab/>
      </w:r>
      <w:r>
        <w:rPr>
          <w:rFonts w:ascii="Times New Roman" w:cs="Times New Roman" w:eastAsia="Times New Roman" w:hAnsi="Times New Roman"/>
          <w:sz w:val="18"/>
          <w:szCs w:val="18"/>
          <w:b w:val="1"/>
          <w:bCs w:val="1"/>
          <w:color w:val="auto"/>
        </w:rPr>
        <w:t>Utah</w:t>
      </w:r>
      <w:r>
        <w:rPr>
          <w:sz w:val="20"/>
          <w:szCs w:val="20"/>
          <w:color w:val="auto"/>
        </w:rPr>
        <w:tab/>
      </w:r>
      <w:r>
        <w:rPr>
          <w:rFonts w:ascii="Times New Roman" w:cs="Times New Roman" w:eastAsia="Times New Roman" w:hAnsi="Times New Roman"/>
          <w:sz w:val="17"/>
          <w:szCs w:val="17"/>
          <w:b w:val="1"/>
          <w:bCs w:val="1"/>
          <w:color w:val="auto"/>
        </w:rPr>
        <w:t>84020-2315</w:t>
      </w:r>
    </w:p>
    <w:p>
      <w:pPr>
        <w:spacing w:after="0" w:line="31" w:lineRule="exact"/>
        <w:rPr>
          <w:sz w:val="24"/>
          <w:szCs w:val="24"/>
          <w:color w:val="auto"/>
        </w:rPr>
      </w:pPr>
    </w:p>
    <w:p>
      <w:pPr>
        <w:ind w:left="2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(385) 351-1369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p>
      <w:pPr>
        <w:ind w:left="1700"/>
        <w:spacing w:after="0"/>
        <w:tabs>
          <w:tab w:leader="none" w:pos="5040" w:val="left"/>
          <w:tab w:leader="none" w:pos="75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10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b w:val="1"/>
          <w:bCs w:val="1"/>
          <w:color w:val="auto"/>
        </w:rPr>
        <w:t>Common Stock, $0.50 Par Value</w:t>
      </w:r>
      <w:r>
        <w:rPr>
          <w:sz w:val="20"/>
          <w:szCs w:val="20"/>
          <w:color w:val="auto"/>
        </w:rPr>
        <w:tab/>
      </w:r>
      <w:r>
        <w:rPr>
          <w:rFonts w:ascii="Times New Roman" w:cs="Times New Roman" w:eastAsia="Times New Roman" w:hAnsi="Times New Roman"/>
          <w:sz w:val="18"/>
          <w:szCs w:val="18"/>
          <w:b w:val="1"/>
          <w:bCs w:val="1"/>
          <w:color w:val="auto"/>
        </w:rPr>
        <w:t>PRG</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40" w:lineRule="exact"/>
        <w:rPr>
          <w:sz w:val="24"/>
          <w:szCs w:val="24"/>
          <w:color w:val="auto"/>
        </w:rPr>
      </w:pPr>
    </w:p>
    <w:p>
      <w:pPr>
        <w:jc w:val="both"/>
        <w:ind w:right="380" w:firstLine="1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40" w:firstLine="18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8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5120" w:type="dxa"/>
            <w:vAlign w:val="bottom"/>
            <w:vMerge w:val="restart"/>
          </w:tcPr>
          <w:p>
            <w:pPr>
              <w:jc w:val="right"/>
              <w:ind w:right="381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37"/>
              <w:spacing w:after="0"/>
              <w:rPr>
                <w:sz w:val="20"/>
                <w:szCs w:val="20"/>
                <w:color w:val="auto"/>
              </w:rPr>
            </w:pPr>
            <w:r>
              <w:rPr>
                <w:rFonts w:ascii="Times New Roman" w:cs="Times New Roman" w:eastAsia="Times New Roman" w:hAnsi="Times New Roman"/>
                <w:sz w:val="14"/>
                <w:szCs w:val="14"/>
                <w:b w:val="1"/>
                <w:bCs w:val="1"/>
                <w:color w:val="auto"/>
              </w:rPr>
              <w:t>October 21, 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2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Common Stock, $0.50 Par Value</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8"/>
                <w:szCs w:val="18"/>
                <w:color w:val="auto"/>
              </w:rPr>
              <w:t>50,032,640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35" w:right="379" w:bottom="700"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35" w:right="379" w:bottom="70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9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2022 (Unaudited) and December 31, 2021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Earnings (Unaudited) – Three and Nine Months Ended September 30, 2022 and 2021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September 30, 2022 and 2021</w:t>
            </w:r>
          </w:p>
        </w:tc>
        <w:tc>
          <w:tcPr>
            <w:tcW w:w="168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540" w:type="dxa"/>
            <w:vAlign w:val="bottom"/>
            <w:gridSpan w:val="3"/>
          </w:tcPr>
          <w:p>
            <w:pPr>
              <w:spacing w:after="0"/>
              <w:rPr>
                <w:sz w:val="22"/>
                <w:szCs w:val="22"/>
                <w:color w:val="auto"/>
              </w:rPr>
            </w:pPr>
          </w:p>
        </w:tc>
        <w:tc>
          <w:tcPr>
            <w:tcW w:w="2240" w:type="dxa"/>
            <w:vAlign w:val="bottom"/>
            <w:gridSpan w:val="2"/>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4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610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4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91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4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12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3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140" w:type="dxa"/>
            <w:vAlign w:val="bottom"/>
            <w:gridSpan w:val="9"/>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0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860" w:type="dxa"/>
            <w:vAlign w:val="bottom"/>
            <w:gridSpan w:val="1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right"/>
              <w:ind w:right="13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center"/>
              <w:ind w:right="233"/>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480" w:type="dxa"/>
            <w:vAlign w:val="bottom"/>
          </w:tcPr>
          <w:p>
            <w:pPr>
              <w:jc w:val="right"/>
              <w:ind w:right="371"/>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221,886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$85,734 in 2022 and $71,233 in 2021)</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56,543</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0" w:type="dxa"/>
            <w:vAlign w:val="bottom"/>
          </w:tcPr>
          <w:p>
            <w:pPr>
              <w:spacing w:after="0"/>
              <w:rPr>
                <w:sz w:val="1"/>
                <w:szCs w:val="1"/>
                <w:color w:val="auto"/>
              </w:rPr>
            </w:pPr>
          </w:p>
        </w:tc>
      </w:tr>
      <w:tr>
        <w:trPr>
          <w:trHeight w:val="176"/>
        </w:trPr>
        <w:tc>
          <w:tcPr>
            <w:tcW w:w="7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Merchandise (net of accumulated depreciation and allowances of $510,217 in 2022 and</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$463,929 in 2021)</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566,148</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714,055</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$54,031 in 2022 and $53,300 in 2021)</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130,136</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24,871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12,448</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296,061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120,135</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137,305</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10,968</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2,760</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49,535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1,491,491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137,575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140,517</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146,265</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33,952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22,341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590,642</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589,654</w:t>
            </w:r>
          </w:p>
        </w:tc>
        <w:tc>
          <w:tcPr>
            <w:tcW w:w="0" w:type="dxa"/>
            <w:vAlign w:val="bottom"/>
          </w:tcPr>
          <w:p>
            <w:pPr>
              <w:spacing w:after="0"/>
              <w:rPr>
                <w:sz w:val="1"/>
                <w:szCs w:val="1"/>
                <w:color w:val="auto"/>
              </w:rPr>
            </w:pPr>
          </w:p>
        </w:tc>
      </w:tr>
      <w:tr>
        <w:trPr>
          <w:trHeight w:val="223"/>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925,027</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942,353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September 30, 2022</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December 31, 2021; Shares Issued: 82,078,654 at September 30, 2022 and December 31, 2021</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41,039</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335,642</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1,118,150</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1,494,831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1,428,809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Common Stock: 32,046,014 Shares at September 30, 2022 and 25,638,057 at December 31, 2021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(928,367)</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566,464</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1,491,491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606,585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635,025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1,930,843</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19,236</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15,380</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54,886</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625,821</w:t>
            </w:r>
          </w:p>
        </w:tc>
        <w:tc>
          <w:tcPr>
            <w:tcW w:w="2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650,405</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1,985,729</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2,031,377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422,589</w:t>
            </w:r>
          </w:p>
        </w:tc>
        <w:tc>
          <w:tcPr>
            <w:tcW w:w="2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435,857</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1,358,713</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1,380,572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43,537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34,174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155,655</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84,072</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112,733</w:t>
            </w:r>
          </w:p>
        </w:tc>
        <w:tc>
          <w:tcPr>
            <w:tcW w:w="2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102,053</w:t>
            </w:r>
          </w:p>
        </w:tc>
        <w:tc>
          <w:tcPr>
            <w:tcW w:w="4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337,997</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10,151</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10,151</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589,010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572,084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1,862,516</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1,754,638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36,811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78,321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123,213</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27,348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77,877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94,513</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11,343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20,464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31,889</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16,005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57,413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62,624</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0.86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50,461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66,092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52,896</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0" w:type="dxa"/>
            <w:vAlign w:val="bottom"/>
          </w:tcPr>
          <w:p>
            <w:pPr>
              <w:spacing w:after="0"/>
              <w:rPr>
                <w:sz w:val="1"/>
                <w:szCs w:val="1"/>
                <w:color w:val="auto"/>
              </w:rPr>
            </w:pPr>
          </w:p>
        </w:tc>
      </w:tr>
      <w:tr>
        <w:trPr>
          <w:trHeight w:val="234"/>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50,547</w:t>
            </w:r>
          </w:p>
        </w:tc>
        <w:tc>
          <w:tcPr>
            <w:tcW w:w="26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66,385</w:t>
            </w:r>
          </w:p>
        </w:tc>
        <w:tc>
          <w:tcPr>
            <w:tcW w:w="40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53,053</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67,319</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62,624</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205,738</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1,358,713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1,380,572</w:t>
            </w:r>
          </w:p>
        </w:tc>
      </w:tr>
      <w:tr>
        <w:trPr>
          <w:trHeight w:val="229"/>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25,446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30"/>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Provisions for Accounts Receivable and Loan Losses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318,314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152,523</w:t>
            </w:r>
          </w:p>
        </w:tc>
      </w:tr>
      <w:tr>
        <w:trPr>
          <w:trHeight w:val="229"/>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13,930</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Impairment of Goodwill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10,151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Changes,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Additions to Lease Merchandise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(1,369,388)</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(1,446,046)</w:t>
            </w:r>
          </w:p>
        </w:tc>
      </w:tr>
      <w:tr>
        <w:trPr>
          <w:trHeight w:val="230"/>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Book Value of Lease Merchandise Sold or Disposed</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158,582</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87,005</w:t>
            </w:r>
          </w:p>
        </w:tc>
      </w:tr>
      <w:tr>
        <w:trPr>
          <w:trHeight w:val="229"/>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(143,970)</w:t>
            </w: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Receivable and Payable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r>
      <w:tr>
        <w:trPr>
          <w:trHeight w:val="229"/>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30"/>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3,220</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r>
      <w:tr>
        <w:trPr>
          <w:trHeight w:val="230"/>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283,150</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294,890</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Loans Receivable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(139,980)</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Loans Receivable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115,226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97,158</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Outflows on Purchases of Property and Equipment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Property and Equipment</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(Outflows) from Acquisitions of Businesses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(72,524)</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(187,361)</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(128,233)</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Tender Offer Shares Repurchased and Retired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Stock Under Stock Option Plans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 for Tax Payments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29"/>
        </w:trPr>
        <w:tc>
          <w:tcPr>
            <w:tcW w:w="7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(191,474)</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(130,223)</w:t>
            </w:r>
          </w:p>
        </w:tc>
      </w:tr>
      <w:tr>
        <w:trPr>
          <w:trHeight w:val="22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51,727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92,143</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170,159</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36,645</w:t>
            </w:r>
          </w:p>
        </w:tc>
      </w:tr>
      <w:tr>
        <w:trPr>
          <w:trHeight w:val="22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221,886</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Cash Paid During the Period: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17,306</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31,087</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43,985</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AND SUMMARY OF SIGNIFICANT ACCOUNTING POLICIES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As described elsewhere in this Quarterly Report on Form 10-Q, the Coronavirus Disease ("COVID-19") pandemic and the rampant increase in inflation has led to significant market uncertainty and disruption and has impacted many aspects of our businesses and operations, directly and indirectly. Throughout these notes to the condensed consolidated financial statements, the impacts of the COVID-19 pandemic and inflation on the financial results for the three and nine months ended September 30, 2022 and 2021 have been identified under the respective sections. For a discussion of customer payment trends and significant estimates made by management regarding allowances for lease merchandise, accounts receivable, and loans receivable, as well as the impacts COVID-19 and supply chain disruptions had on generating new lease and loan originations during the three and nine months ended September 30, 2022 and 2021, see Item 2. "Management’s Discussion and Analysis of Financial Condition and Results of Operations," including the "COVID-19 Pandemic," "Results of Operations," and "Liquidity and Capital Resources"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0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a reportable segment for the three and nine month periods ended September 30, 2022 and 2021 as its financial results are not material to the Company's condensed consolidated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possible direct or indirect impacts associated with the COVID-19 pandemic and/or increasing inflation.</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2021 (the "2021 Annual Report") filed with the United States Securities and Exchange Commission on February 23, 2022. The results of operations for the three and nine months ended September 30, 2022 are not necessarily indicative of operating results for the full year.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PROG Holdings, Inc. and its subsidiaries, each of which is wholly-owned.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between consolidated entities have been eliminated.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consolidated financial statements in the 2021 Annual Report for an expanded discussion of accounting policies and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180" w:type="dxa"/>
            <w:vAlign w:val="bottom"/>
            <w:gridSpan w:val="2"/>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60" w:type="dxa"/>
            <w:vAlign w:val="bottom"/>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50,461</w:t>
            </w: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66,092</w:t>
            </w: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52,896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293</w:t>
            </w: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157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7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50,547</w:t>
            </w:r>
          </w:p>
        </w:tc>
        <w:tc>
          <w:tcPr>
            <w:tcW w:w="14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66,385</w:t>
            </w:r>
          </w:p>
        </w:tc>
        <w:tc>
          <w:tcPr>
            <w:tcW w:w="16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53,053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Approximately 1,622,000 and 1,418,000 weighted-average share-based awards were excluded from the computation of earnings per share assuming dilution during the three and nine months ended September 30, 2022, respectively, as the awards would have been anti-dilutive for the periods presented.</w:t>
      </w:r>
    </w:p>
    <w:p>
      <w:pPr>
        <w:spacing w:after="0" w:line="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Approximately 725,000 and 464,000 weighted-average share-based awards were excluded from the computation of earnings per share assuming dilution during the three and nine months ended September 30, 2021, respectively, as the awards would have been anti-dilutive for the periods presented.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10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All other customer lease billings are earned prior to the lease payment due date and are recorded net of related sales taxes as earned. Payment due date terms include weekly, bi-weekly, semi-monthly and monthly frequencies. Initial lease payments and other cash collected in advance of being due or earned are recognized as deferred revenue within customer deposits and advance payments in the accompanying condensed consolidated balance sheets.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spacing w:after="0" w:line="5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interest and fee revenue in the billing period in which they are assessed if collectibility is reasonably assured. Annual fees and other fees are recognized as interest and fee revenue on loans receivable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$56.5 million and $66.3 million, net of allowances, as of September 30, 2022 and December 31, 2021, respectively.</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business trends including, but not limited to, the potential unfavorable impacts of the significant increase in inflation and the COVID-19 pandemic on our businesses. Given the significant uncertainty regarding the impacts of increasing inflation and the COVID-19 pandemic on our business, a high level of estimation was involved in determining the allowance as of September 30, 2022. Therefore, actual future accounts receivable write-offs may differ materially from the allowance. If the recent increase in inflation, which has risen at a greater pace than seen in decades, continues in future periods, or if the current level of inflation does not decrease, such developments may further adversely impact our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write-off lease receivables after 120 days.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Vive's allowance for uncollectible merchant accounts receivable, which primarily relates to cardholder returns and refunds, is recorded as bad debt expense within operating expenses in the condensed consolidated statements of earnings. See below for discussion of Vive's loans receivable and related allowance for loan losses.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300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81,898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48,459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71,233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(109,203)</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(302,945)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8,736</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7,085</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27,623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104,303</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61,541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289,823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137,799</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85,734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60,578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85,734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which has increased at a greater pace than seen in decades, and the COVID-19 pandemic on our business, a high level of estimation was involved in determining the allowance as of September 30, 2022. Actual lease merchandise write-offs may differ materially from the allowance as of September 30, 2022. If the recent increase in the rate of inflation continues in future periods, or if the current level of inflation does not decrease, such developments may further adversely impact our customers' ability to continue to make payments to the Company. For customer lease agreements that are past due, the Company's policy is to write-off lease merchandise after 120 days.</w:t>
      </w:r>
    </w:p>
    <w:p>
      <w:pPr>
        <w:spacing w:after="0" w:line="7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302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70,579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45,627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54,367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2,329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2,361</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6,989</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43,537</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34,174</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155,655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84,072</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59,635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51,822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59,635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9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$6.2 million and $19.0 million for such additional consideration to POS partners, during the three and nine months ended September 30, 2022, respectively, compared to $3.9 million and $13.5 million during the three and nine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months ended September 30, 2021. Expenses related to additional consideration provided to POS partners are classified within operating expenses in the condensed consolidated statements of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$2.7 million and $1.5 million of outstanding receivables from customers of Four as of September 30, 2022 and December 31, 2021, respectively.</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Our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September 30, 2022, management considered other qualitative factors such as the unfavorable impact of the rapid increase in the rate of inflation in recent months and the beneficial impact of government stimulus measures to our customer base in 2020 and 2021 that were not fully factored into the macroeconomic forecasted data and resulted in internal historical loss rates incorporated in Vive's baseline allowance estimate being lower than current forecasted loss rates.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recent increase in inflation continues in future periods, such a development may adversely impact our customers' ability to continue to make payments to the Company. To the extent that actual results differ from estimates of uncollectible loans receivable, including the significant uncertainties caused by rapidly increasing inflation and the COVID-19 pandemic, the Company's results of operations and liquidity may be materially affected.</w:t>
      </w:r>
    </w:p>
    <w:p>
      <w:pPr>
        <w:spacing w:after="0" w:line="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Below is a summary of the credit quality of the Company's loan portfolio as of September 30, 2022 and December 31, 2021 by FICO score as determined at the time of loan origination: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FICO Score Category</w:t>
            </w:r>
          </w:p>
        </w:tc>
        <w:tc>
          <w:tcPr>
            <w:tcW w:w="48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4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7.4 %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4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76.2 %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4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13.8 %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4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27,596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16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8,664</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5,781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49,535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21,095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14,463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38,320</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137,575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0" w:firstLine="8"/>
        <w:spacing w:after="0" w:line="205" w:lineRule="auto"/>
        <w:tabs>
          <w:tab w:leader="none" w:pos="8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positions as of September 30, 2022, and December 31, 2021 are primarily related to the Company’s tax treatment of the $175.0 million settlement payment made in 2020 to the FTC as discussed in Note 10 and Note 11 to the consolidated financial statements in the 2021 Annual Report.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September 30, 2022 and December 31, 2021.</w:t>
      </w:r>
    </w:p>
    <w:p>
      <w:pPr>
        <w:spacing w:after="0" w:line="5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 $425 million of the Company’s common stock as discussed in Note 12 to the consolidated financial statements in the 2021 Annual Report. The Company intends to use any remaining proceeds for future share repurchases or, to the extent the Company determines not to repurchase additional shares, for general corporate purposes.</w:t>
      </w:r>
    </w:p>
    <w:p>
      <w:pPr>
        <w:spacing w:after="0" w:line="5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was in compliance with all covenants related to its outstanding debt. See Note 9 to the consolidated financial statements in the 2021 Annual Report for further information regarding the Company's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as of September 30, 2022.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concluded an interim goodwill impairment test was triggered for the Four reporting unit as of September 30, 2022. Factors that led to this conclusion include: (i) a significant decline in valuations and related market multiples for peers in the Buy Now, Pay Later industry; (ii) an increase in Four's forecasted losses; and (iii) projected negative cash flows for the reporting unit in future periods.</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September 30, 2022, the Company determined the Four goodwill was partially impaired and recorded an impairment of goodwill of $10.2 million during the three months ended September 30,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Buy Now, Pay Later industry. We believe the comparable companies we evaluate as marketplace participants serve as an appropriate reference when calculating fair value because those companies have similar risks, participate in similar markets, provide similar products and services for their customers and compete with Four directly. As of September 30, 2022, Four's goodwill balance was $7.3 million.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Buy Now, Pay Later peer market multiples.</w:t>
      </w:r>
    </w:p>
    <w:p>
      <w:pPr>
        <w:spacing w:after="0" w:line="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for Progressive Leasing as of October 1, 2021 and concluded that no impairment had occurred. The Company determined that there were no events or circumstances that occurred during the nine months ended September 30, 2022 that would more likely than not reduce the fair value of Progressive Leasing below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nine months ended September 30, 2022 and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9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2"/>
                <w:szCs w:val="2"/>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(749,401)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1,055,526</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6,587</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27,135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(822,221)</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331,055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1,082,661</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632,534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2,484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(98,395)</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19,484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(919,236)</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332,823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1,102,145</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556,771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4,960</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(32,046)</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(928,367)</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335,642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1,118,150</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566,464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4"/>
        </w:trPr>
        <w:tc>
          <w:tcPr>
            <w:tcW w:w="2500" w:type="dxa"/>
            <w:vAlign w:val="bottom"/>
          </w:tcPr>
          <w:p>
            <w:pPr>
              <w:spacing w:after="0"/>
              <w:rPr>
                <w:sz w:val="24"/>
                <w:szCs w:val="24"/>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2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9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3"/>
                <w:szCs w:val="3"/>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(613,881)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318,263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1,236,378</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986,136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4,163</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79,488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79,488</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(23,402)</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(638,312)</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314,026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1,315,866</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1,036,956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(49,094)</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68,837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68,837</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(685,655)</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318,911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1,384,703</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vMerge w:val="continue"/>
          </w:tcPr>
          <w:p>
            <w:pPr>
              <w:spacing w:after="0"/>
              <w:rPr>
                <w:sz w:val="17"/>
                <w:szCs w:val="17"/>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6,667</w:t>
            </w:r>
          </w:p>
        </w:tc>
        <w:tc>
          <w:tcPr>
            <w:tcW w:w="2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57,413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57,413</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(25,361)</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(736,345)</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325,309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1,442,116</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1,076,456</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2022, the Company issued 539,085 restricted stock units and 264,132 stock options to certain employees, and 389,529 performance share units to certain employees and third-parties, which vest over one to three-year periods for certain units and upon the achievement of specified performance conditions for other units. The weighted average fair value of the restricted stock and performance share awards was $28.00, which was based on the fair market value of the Company’s common stock on the dates of grant. The weighted average fair value of the stock option awards was $10.89,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sz w:val="20"/>
          <w:szCs w:val="20"/>
          <w:color w:val="auto"/>
        </w:rPr>
      </w:pPr>
    </w:p>
    <w:p>
      <w:pPr>
        <w:ind w:left="900" w:right="840"/>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Facilitation of the Effects of Reference Rate Reform on Financial Reporting (Topic</w:t>
      </w:r>
    </w:p>
    <w:p>
      <w:pPr>
        <w:spacing w:after="0" w:line="41" w:lineRule="exact"/>
        <w:rPr>
          <w:sz w:val="20"/>
          <w:szCs w:val="20"/>
          <w:color w:val="auto"/>
        </w:rPr>
      </w:pPr>
    </w:p>
    <w:p>
      <w:pPr>
        <w:ind w:firstLine="8"/>
        <w:spacing w:after="0" w:line="251" w:lineRule="auto"/>
        <w:tabs>
          <w:tab w:leader="none" w:pos="37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have been extended to December 31, 2024, when the reference rate replacement activity is expected to have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U.S. GAAP for contract modifications if the change is directly related to a change from the LIBO rate to a new interest rate index. The Company plans to amend the Revolving Facility agreement to change the reference rate from LIBO to the Secured Overnight Financing Rate ("SOFR"). The Company does not expect the adoption of ASU 2020-04 to have a material impact to the Company's condensed consolidated financial statements or to any key terms of our Revolving Facility other than the discontinuation of the LIBO rate.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66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on the condensed consolidated balance sheet as of September 30, 2022 and approximated fair value based on a discounted cash flow methodology.</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Senior Notes are carried at amortized cost on the condensed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debt and loans receivable held by Vive and Four: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478,320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616,080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165,371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157,070</w:t>
            </w:r>
          </w:p>
        </w:tc>
      </w:tr>
      <w:tr>
        <w:trPr>
          <w:trHeight w:val="886"/>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184,167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172,615</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Unamortized Fees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(11,729)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(12,511)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172,438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160,104</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(42,302)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(40,789)</w:t>
            </w:r>
          </w:p>
        </w:tc>
      </w:tr>
      <w:tr>
        <w:trPr>
          <w:trHeight w:val="248"/>
        </w:trPr>
        <w:tc>
          <w:tcPr>
            <w:tcW w:w="7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130,136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119,315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$2.7 million and $1.5 million as of September 30, 2022 and December 31,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4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7"/>
                <w:szCs w:val="17"/>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Prior</w:t>
            </w:r>
          </w:p>
        </w:tc>
        <w:tc>
          <w:tcPr>
            <w:tcW w:w="320" w:type="dxa"/>
            <w:vAlign w:val="bottom"/>
          </w:tcPr>
          <w:p>
            <w:pPr>
              <w:spacing w:after="0"/>
              <w:rPr>
                <w:sz w:val="17"/>
                <w:szCs w:val="17"/>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FICO Score Category: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6,456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65,751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45,295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13,984</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131,666</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2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14,938</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5,537</w:t>
            </w:r>
          </w:p>
        </w:tc>
        <w:tc>
          <w:tcPr>
            <w:tcW w:w="2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4,622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91,767</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55,756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16,893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2,278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172,438</w:t>
            </w:r>
          </w:p>
        </w:tc>
      </w:tr>
      <w:tr>
        <w:trPr>
          <w:trHeight w:val="20"/>
        </w:trPr>
        <w:tc>
          <w:tcPr>
            <w:tcW w:w="3300" w:type="dxa"/>
            <w:vAlign w:val="bottom"/>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53"/>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8"/>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6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23"/>
        </w:trPr>
        <w:tc>
          <w:tcPr>
            <w:tcW w:w="4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5,004</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3,527</w:t>
            </w:r>
          </w:p>
        </w:tc>
      </w:tr>
      <w:tr>
        <w:trPr>
          <w:trHeight w:val="223"/>
        </w:trPr>
        <w:tc>
          <w:tcPr>
            <w:tcW w:w="6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 for the three and nine months ended September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34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40,797</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45,151</w:t>
            </w:r>
          </w:p>
        </w:tc>
        <w:tc>
          <w:tcPr>
            <w:tcW w:w="10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40,789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12,031</w:t>
            </w:r>
          </w:p>
        </w:tc>
        <w:tc>
          <w:tcPr>
            <w:tcW w:w="11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3,868</w:t>
            </w:r>
          </w:p>
        </w:tc>
        <w:tc>
          <w:tcPr>
            <w:tcW w:w="10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(5,381)</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(30,286)</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42,302</w:t>
            </w:r>
          </w:p>
        </w:tc>
        <w:tc>
          <w:tcPr>
            <w:tcW w:w="11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44,650</w:t>
            </w:r>
          </w:p>
        </w:tc>
        <w:tc>
          <w:tcPr>
            <w:tcW w:w="104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42,302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September 30, 2022 and December 31, 2021, the Company had accrued $0.7 million and an immaterial amount,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that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Stein v. Aaron's, Inc., et. al.,</w:t>
      </w:r>
      <w:r>
        <w:rPr>
          <w:rFonts w:ascii="Times New Roman" w:cs="Times New Roman" w:eastAsia="Times New Roman" w:hAnsi="Times New Roman"/>
          <w:sz w:val="18"/>
          <w:szCs w:val="18"/>
          <w:color w:val="auto"/>
        </w:rPr>
        <w:t xml:space="preserve"> filed in the United States District Court for the Southern District of New York on February 28, 2020, the plaintiff alleged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United States District Court for the Northern District of Georgia, the Court to whom the case was transferred, granted the Company's motion to dismiss the case on September 29, 2022. Plaintiff has agreed that it will not appeal the matter and the Company has agreed that it will not pursue attorneys' fees and costs from Plaintiff. The United States District Court for the Northern District of Georgia entered a judgment dismissing the action on October 20,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The complaint seeks, among other things, to convert all RTO agreements entered into by Progressive Leasing prior to September 9, 2022 into retail installment contracts for which the maximum interest rate is 6% per annum, civil penalties in the amount of $1,000 for each violation of Pennsylvania’s Unfair Trade Practices and Consumer Protection Law (and $3,000 for each such violation involving a consumer age 60 or older) and unspecified investigation and prosecution costs. Progressive Leasing believes the Pennsylvania Attorney General’s claims are without merit and intends to vigorously defend itself in this matter.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through its Vive segment, had unconditionally cancellable unfunded lending commitments totaling approximately $505.8 million and $467.6 million as of September 30,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 has two reportable segments: Progressive Leasing and Vive.</w:t>
      </w:r>
    </w:p>
    <w:p>
      <w:pPr>
        <w:spacing w:after="0" w:line="10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discussed in Note 1 of the 2021 Annual Report, on June 25, 2021, the Company completed the acquisition of Four, an innovative Buy Now, Pay Later company that allows shoppers to pay for merchandise through four interest-free installments. Four is not a reportable segment for the three and nine month periods ended September 30, 2022 and 2021 as its financial results are not material to the Company's condensed consolidated financial results. The revenues, loss before income taxes, and assets within "other" below is primarily comprised of the operating activities of Four.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three months ended September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4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6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Receivable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18,392</w:t>
            </w: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844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15,212</w:t>
            </w:r>
          </w:p>
        </w:tc>
        <w:tc>
          <w:tcPr>
            <w:tcW w:w="11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168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18,392 $</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844 $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15,212 $</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168 $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650,405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80" w:hanging="72"/>
        <w:spacing w:after="0"/>
        <w:tabs>
          <w:tab w:leader="none" w:pos="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nine months ended September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08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CCEEFF"/>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Receivable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53,026</w:t>
            </w: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1,860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42,154</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168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53,026 $</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1,860 $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42,154 $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2,031,377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Segment Profit or Loss and Segment Assets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4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finance, treasury, tax, audit, legal, risk management, and other overhead functions during the three and nine months ended September 30, 2022 and 2021. Corporate overhead expenses incurred are primarily reflected as expenses of the Progressive Leasing segment and an immaterial amount was allocated to the Vive segment. The allocation of corporate overhead costs to the Progressive Leasing and Vive segments is consistent with how the chief operating decision maker analyzed performance and allocated resources among the segments of the Company during the three and nine months ended September 30, 2022 and 2021. The following is a summary of earnings before income tax expense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43,492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1,376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27,348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0" w:right="40" w:hanging="72"/>
        <w:spacing w:after="0" w:line="237" w:lineRule="auto"/>
        <w:tabs>
          <w:tab w:leader="none" w:pos="69"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Earnings Before Income Tax Expense attributable to Other for the three months ended September 30, 2022 includes a $10.2 million goodwill impairment loss related to the partial impairment of Four's goodwill as discussed in Note 1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112,956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268,128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9,154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94,513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right="80" w:hanging="72"/>
        <w:spacing w:after="0" w:line="302" w:lineRule="auto"/>
        <w:tabs>
          <w:tab w:leader="none" w:pos="69"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Earnings Before Income Tax Expense attributable to Other for the nine months ended September 30, 2022 includes a $10.2 million goodwill impairment loss related to the partial impairment of Four's goodwill as discussed in Note 1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1,311,583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4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157,178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149,628</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22,730</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1,491,491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6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RESTRUCTURING EXPENSES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initiated restructuring activities intended to reduce expenses, consolidate certain segment corporate headquarters, and align the cost structure of the business with the Company's near-term revenue outlook. The Company continued such activities during the third quarter and recorded restructuring expenses of $4.7 million and $9.0 million for the three and nine months ended September 30, 2022, respectively. These costs were primarily comprised of employee severance within Progressive Leasing and operating lease right-of-use asset impairment charges related to relocation of the Vive corporate headquarters to the Company's corporate office building and a reduction of call center office space.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restructuring charges recorded within operating expenses in the condensed consolidated statements of earnings for the three and nine months ended September 30,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Impairment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2,285</w:t>
            </w:r>
          </w:p>
        </w:tc>
        <w:tc>
          <w:tcPr>
            <w:tcW w:w="3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Impairment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5,611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Impairment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2,285</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3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Impairment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8,343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3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nine months ended September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3"/>
                <w:szCs w:val="13"/>
                <w:color w:val="auto"/>
              </w:rPr>
            </w:pP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440" w:type="dxa"/>
            <w:vAlign w:val="bottom"/>
          </w:tcPr>
          <w:p>
            <w:pPr>
              <w:spacing w:after="0"/>
              <w:rPr>
                <w:sz w:val="13"/>
                <w:szCs w:val="13"/>
                <w:color w:val="auto"/>
              </w:rPr>
            </w:pPr>
          </w:p>
        </w:tc>
        <w:tc>
          <w:tcPr>
            <w:tcW w:w="126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5,611</w:t>
            </w:r>
          </w:p>
        </w:tc>
        <w:tc>
          <w:tcPr>
            <w:tcW w:w="220" w:type="dxa"/>
            <w:vAlign w:val="bottom"/>
          </w:tcPr>
          <w:p>
            <w:pPr>
              <w:spacing w:after="0"/>
              <w:rPr>
                <w:sz w:val="19"/>
                <w:szCs w:val="19"/>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2021 (the "2021 Annual Report").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as of and for the three and nine months ended September 30, 2022 and 2021,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2021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the merchandise desired by customers from the POS partners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expected to be a reportable segment in 2022 as its financial results are not expected to be material to the Company's consolidated financial results in 2022. The Company recorded an impairment loss of $10.2 million to partially write-off the goodwill balance of the Four reporting unit during the three months ended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Environment and Outlook</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continues to operate in a challenging macro environment as inflation levels in the United States, particularly in gas, food, and housing costs, are putting significant pressure on our customers, resulting in an unfavorable impact on our lease portfolio performance and Gross Merchandise Volume ("GMV") production. Customer payment delinquencies and uncollectible renewal payments experienced within our Progressive Leasing segment during the first nine months of 2022 were higher than projected and exceeded levels experienced during pre-pandemic periods. In response to increasing customer delinquencies and higher write-offs, the Company tightened its lease decisioning, resulting in fewer lease approvals and an adverse impact on GMV production. Customer payment delinquencies and uncollectible renewal payments for leases originated after the Company further tightened its lease decisioning in mid-2022 are consistent with pre-pandemic delinquency trends. The significant increase in inflation levels has also resulted in a decrease in demand from our customer base at key national and regional POS partners.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22" w:name="page23"/>
    <w:bookmarkEnd w:id="22"/>
    <w:p>
      <w:pPr>
        <w:ind w:right="60"/>
        <w:spacing w:after="0" w:line="266" w:lineRule="auto"/>
        <w:rPr>
          <w:sz w:val="20"/>
          <w:szCs w:val="20"/>
          <w:color w:val="auto"/>
        </w:rPr>
      </w:pPr>
      <w:r>
        <w:rPr>
          <w:rFonts w:ascii="Times New Roman" w:cs="Times New Roman" w:eastAsia="Times New Roman" w:hAnsi="Times New Roman"/>
          <w:sz w:val="18"/>
          <w:szCs w:val="18"/>
          <w:color w:val="auto"/>
        </w:rPr>
        <w:t>In light of these macro environment challenges and to align the cost structure of the business with our near-term revenue outlook, the Company executed on a number of cost reduction initiatives during the second and third quarters of 2022 to drive efficiencies and right-size variable costs, while attempting to minimize the negative impact on growth-related initiatives.</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current challenging and volatile macro environment may result in customer payment delinquencies and associated write-offs in future periods reaching levels higher than typical pre-pandemic levels, despite the steps we have taken to tighten our lease and Vive loan decisioning. The relatively high levels of customer payment delinquencies and related write-offs experienced during the nine months ended September 30, 2022 related to leases originated prior to the Company's further tightening of its lease decisioning in mid-2022 may continue for an extended period of time, and/or may increase to even higher levels, which would have an unfavorable impact on our performance.</w:t>
      </w:r>
    </w:p>
    <w:p>
      <w:pPr>
        <w:spacing w:after="0" w:line="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On March 11, 2020, the World Health Organization declared the outbreak of COVID-19 a pandemic. Since then,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has negatively impacted the global economy, disrupted global supply chains and, at times, increased unemployment levels. Although the temporary showroom and/or store closures or reduced hours and scope of operations that many of our POS partners experienced during portions of 2020 and 2021 generally have eased, the significant increase in COVID-19 cases from the Omicron variant during the first quarter of 2022 resulted in many of our POS partners temporarily resuming such measures during the first half of that quarter of 2022, and also resulted in increases in employee absenteeism and declines in customer traffic for many of our POS partners, all of which unfavorably impacted Progressive Leasing's GMV. In addition, other pandemic-related factors continued to unfavorably impact many of our POS partners during the first nine months of 2022, including supply chain disruptions resulting in shortages of available products at certain POS partners, primarily in the appliance, electronics and furniture categories. These pandemic-related developments, as well as the possible emergence of various COVID-19 subvariants, may have an unfavorable impact on Progressive Leasing’s generation of new lease agreements, Vive's generation of new loans, and on our revenues and earnings, in future periods.</w:t>
      </w:r>
    </w:p>
    <w:p>
      <w:pPr>
        <w:spacing w:after="0" w:line="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contagious and harmful variants of COVID-19, and localized outbreaks or additional waves of COVID-19 cases; (ii) the impact of any such outbreaks on our customers, POS partners, and employees; (iii) the nature of any government orders issued in response to such outbreaks, and/or self-imposed restrictions on operations being implemented by our POS partners; (iv) the effectiveness, availability and level of use of vaccines; and (v) whether there is any additional government stimulus in response to the pandemic, as well as the nature, timing and amount of such stimulus payments.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response to the unfavorable economic impacts arising out of the COVID-19 pandemic, the United States government enacted certain fiscal stimulus measures in several phases during 2020 and 2021 to assist in counteracting the economic disruptions caused by the pandemic. We believe all of those government stimulus measures provided economic support to many of our customers, resulting in an increase in payment activity and early lease buyouts, as well as lease merchandise, accounts receivable, and loan receivable write-offs trending lower during 2020 and 2021. We believe a significant portion of our Progressive Leasing and Vive customers received stimulus payments and/or federally supplemented unemployment payments during 2020 and 2021, which enabled them to continue making payments to us under their lease-to-own or credit card agreements, despite the economically challenging times resulting from the COVID-19 pandemic. We believe expiration of the government stimulus payments, enhanced unemployment benefits and child tax credits that were implemented in response to the COVID-19 pandemic, and other adverse economic impacts arising out of the pandemic also contributed to unfavorable results of operations in the third quarter of 2022 as compared to the same period in 2021.</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financial highlights from the three months ended September 30, 2022:</w:t>
      </w:r>
    </w:p>
    <w:p>
      <w:pPr>
        <w:spacing w:after="0" w:line="90" w:lineRule="exact"/>
        <w:rPr>
          <w:sz w:val="20"/>
          <w:szCs w:val="20"/>
          <w:color w:val="auto"/>
        </w:rPr>
      </w:pPr>
    </w:p>
    <w:p>
      <w:pPr>
        <w:ind w:left="660" w:right="40" w:hanging="328"/>
        <w:spacing w:after="0" w:line="261" w:lineRule="auto"/>
        <w:tabs>
          <w:tab w:leader="none" w:pos="65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We reported revenues of $625.8 million, a decrease of 3.8% compared to the third quarter of 2021. The decrease in revenues was primarily due to an increase in customer payment delinquencies and uncollectible renewal payments, further tightening of lease decisioning beginning in mid-2022 resulting in fewer lease originations, and a decrease in customers exercising early lease buyout options, as compared to the stronger customer payment activity and low delinquencies we experienced during the third quarter of 2021.</w:t>
      </w:r>
    </w:p>
    <w:p>
      <w:pPr>
        <w:spacing w:after="0" w:line="58" w:lineRule="exact"/>
        <w:rPr>
          <w:rFonts w:ascii="Times New Roman" w:cs="Times New Roman" w:eastAsia="Times New Roman" w:hAnsi="Times New Roman"/>
          <w:sz w:val="14"/>
          <w:szCs w:val="14"/>
          <w:b w:val="1"/>
          <w:bCs w:val="1"/>
          <w:i w:val="1"/>
          <w:iCs w:val="1"/>
          <w:color w:val="auto"/>
        </w:rPr>
      </w:pPr>
    </w:p>
    <w:p>
      <w:pPr>
        <w:ind w:left="660" w:right="20" w:hanging="328"/>
        <w:spacing w:after="0" w:line="254" w:lineRule="auto"/>
        <w:tabs>
          <w:tab w:leader="none" w:pos="65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GMV decreased by $55.9 million for Progressive Leasing and $1.1 million for Vive in the third quarter of 2022, compared to the same period in the prior year. We believe these decreases were due to tighter lease and loan decisioning, resulting in fewer lease and loan originations; the rapid increase in the rate of inflation eroding customers' disposable incomes and reducing their demand for many of the goods sold by our POS partners; and the absence of government stimulus payments and enhanced unemployment benefits and child tax credits, which we believe benefited many of our customers in 2021. These negative impacts were partially offset by a $0.5 million increase in GMV generated through e-commerce platforms. In the third quarter of 2022, e-commerce GMV represented 16.5% of Progressive Leasing's total GMV, compared to 14.5% in the third quarter of 2021. Additionally, GMV from our other operations increased by $13.1 million primarily due to an increase in Four loan originations compared to the third quarter of 2021.</w:t>
      </w:r>
    </w:p>
    <w:p>
      <w:pPr>
        <w:spacing w:after="0" w:line="70" w:lineRule="exact"/>
        <w:rPr>
          <w:rFonts w:ascii="Times New Roman" w:cs="Times New Roman" w:eastAsia="Times New Roman" w:hAnsi="Times New Roman"/>
          <w:sz w:val="14"/>
          <w:szCs w:val="14"/>
          <w:b w:val="1"/>
          <w:bCs w:val="1"/>
          <w:i w:val="1"/>
          <w:iCs w:val="1"/>
          <w:color w:val="auto"/>
        </w:rPr>
      </w:pPr>
    </w:p>
    <w:p>
      <w:pPr>
        <w:ind w:left="660" w:hanging="328"/>
        <w:spacing w:after="0" w:line="253" w:lineRule="auto"/>
        <w:tabs>
          <w:tab w:leader="none" w:pos="65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taxes decreased to $27.3 million compared to $77.9 million in the same period in 2021. In addition to lower revenues, the decrease was primarily driven by a $10.7 million increase in operating expenses, as compared to the third quarter of 2021, mainly due to expenses associated with growing our strategic initiatives and the restructuring activities we undertook in 2022. The decrease was also driven by an increase of $9.4 million in the provision for lease merchandise write-offs, as a result of higher customer payment delinquencies and write-offs, as compared to the strong customer payment activity and low lease merchandise charge-offs we experienced during the third quarter of 2021. Other factors contributing to the decrease were a $9.0 million increase in interest expense related to the Senior Notes issued in November 2021 and the</w:t>
      </w:r>
    </w:p>
    <w:p>
      <w:pPr>
        <w:spacing w:after="0" w:line="5" w:lineRule="exact"/>
        <w:rPr>
          <w:rFonts w:ascii="Times New Roman" w:cs="Times New Roman" w:eastAsia="Times New Roman" w:hAnsi="Times New Roman"/>
          <w:sz w:val="14"/>
          <w:szCs w:val="14"/>
          <w:b w:val="1"/>
          <w:bCs w:val="1"/>
          <w:i w:val="1"/>
          <w:iCs w:val="1"/>
          <w:color w:val="auto"/>
        </w:rPr>
      </w:pPr>
    </w:p>
    <w:p>
      <w:pPr>
        <w:ind w:left="6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$10.2 million goodwill impairment loss related to Four in the third quarter of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Gross Merchandise Volume</w:t>
      </w:r>
      <w:r>
        <w:rPr>
          <w:rFonts w:ascii="Times New Roman" w:cs="Times New Roman" w:eastAsia="Times New Roman" w:hAnsi="Times New Roman"/>
          <w:sz w:val="18"/>
          <w:szCs w:val="18"/>
          <w:color w:val="auto"/>
        </w:rPr>
        <w:t>. We believe GMV is a key performance indicator of our Progressive Leasing and Vive segments, as it provides the total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In Thousands)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437,417</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493,277</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(55,860)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2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47,967</w:t>
            </w:r>
          </w:p>
        </w:tc>
        <w:tc>
          <w:tcPr>
            <w:tcW w:w="44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49,085</w:t>
            </w:r>
          </w:p>
        </w:tc>
        <w:tc>
          <w:tcPr>
            <w:tcW w:w="440" w:type="dxa"/>
            <w:vAlign w:val="bottom"/>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(1,118)</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15,786</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2,655</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13,131</w:t>
            </w: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GMV</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501,170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545,017</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(43,847)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the decrease in Progressive Leasing's and Vive's GMV was primarily due to our tighter lease and loan decisioning to address the unfavorable economic conditions that were present in the second and third quarters of 2022, resulting in fewer lease and loan approvals; the rapid increase in the rate of inflation to levels not seen in more than forty years, which eroded customers' disposable incomes and their demand for many of the goods sold by our POS partners; and the absence of government stimulus payments and enhanced unemployment benefits and child tax credits, which we believe benefited many of our customers in 2021. We believe all of these factors have unfavorably impacted the generation of new leases and loans. The decrease in Progressive Leasing's GMV from those factors was partially offset by a $0.5 million increase in GMV generated through e-commerce platforms. E-commerce channels generated 16.5% of Progressive Leasing's GMV in the third quarter of 2022 compared to 14.5% in the third quarter of 2021. The decrease in total GMV was also partially offset by an increase in GMV from our other operations, primarily due to an increase in Four loan originations from new and existing retail partners.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Active Customer Count. </w:t>
      </w:r>
      <w:r>
        <w:rPr>
          <w:rFonts w:ascii="Times New Roman" w:cs="Times New Roman" w:eastAsia="Times New Roman" w:hAnsi="Times New Roman"/>
          <w:sz w:val="17"/>
          <w:szCs w:val="17"/>
          <w:color w:val="auto"/>
        </w:rPr>
        <w:t>Our active customer count represents the total number of customers that have an active lease agreement with our Progressive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Leasing segment or an active loan with our Vive segment or with Four. The following table presents our consolidated active customer count, which includes an immaterial number of customers that have both an active lease agreement and loan agreement, for the Company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(Unaudited)</w:t>
            </w:r>
          </w:p>
        </w:tc>
        <w:tc>
          <w:tcPr>
            <w:tcW w:w="20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20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915,000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936,000</w:t>
            </w:r>
          </w:p>
        </w:tc>
      </w:tr>
      <w:tr>
        <w:trPr>
          <w:trHeight w:val="23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20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92,000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29"/>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27,000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Active Customer Count</w:t>
            </w:r>
          </w:p>
        </w:tc>
        <w:tc>
          <w:tcPr>
            <w:tcW w:w="20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1,034,000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decrease in the number of Progressive Leasing customers was primarily due to a decrease in customer demand for the types of merchandise typically purchased through our lease-to-own solutions and also due to our tighter lease decisioning to address the unfavorable economic conditions that were present in the second and third quarters of 2022. The increase in the number of Four customers was primarily driven by an increase in loan originations from new and existing retail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Earnings Before Income Taxes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condensed consolidated results. For the three and nine months ended September 30, 2022 and the comparable prior year period, some of the key revenue, cost and expense items that affected earnings before income taxes were as follows:</w:t>
      </w:r>
    </w:p>
    <w:p>
      <w:pPr>
        <w:spacing w:after="0" w:line="3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4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primarily reflects the expense associated with depreciating merchandise leased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by Progressive Leasing.</w:t>
      </w:r>
    </w:p>
    <w:p>
      <w:pPr>
        <w:spacing w:after="0" w:line="3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Lease Merchandise Write-offs. </w:t>
      </w:r>
      <w:r>
        <w:rPr>
          <w:rFonts w:ascii="Times New Roman" w:cs="Times New Roman" w:eastAsia="Times New Roman" w:hAnsi="Times New Roman"/>
          <w:sz w:val="18"/>
          <w:szCs w:val="18"/>
          <w:color w:val="auto"/>
        </w:rPr>
        <w:t>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acquisition expense, computer software expense, the provision for loan losses, fixed asset depreciation expense, intangible asset amortization, and restructuring, among other expenses.</w:t>
      </w:r>
    </w:p>
    <w:p>
      <w:pPr>
        <w:spacing w:after="0" w:line="38" w:lineRule="exact"/>
        <w:rPr>
          <w:sz w:val="20"/>
          <w:szCs w:val="20"/>
          <w:color w:val="auto"/>
        </w:rPr>
      </w:pPr>
    </w:p>
    <w:p>
      <w:pPr>
        <w:jc w:val="both"/>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Impairment of goodwill is the partial write-off of the goodwill balance at the Four reporting unit. Refer to Note 1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financial statements for further discussion of the interim goodwill impairment assessment and resulting impairment charge.</w:t>
      </w:r>
    </w:p>
    <w:p>
      <w:pPr>
        <w:spacing w:after="0" w:line="3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incurred on the Company's senior secured revolving credit facility (the "Revolving Facility")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Senior Notes.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606,585</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635,025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(28,440)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19,236</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15,380</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3,856</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625,821</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650,405</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(24,584)</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422,589</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435,857</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(13,268)</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43,537</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34,174</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9,363</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112,733</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102,053</w:t>
            </w:r>
          </w:p>
        </w:tc>
        <w:tc>
          <w:tcPr>
            <w:tcW w:w="42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10,680</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10,151</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10,151</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589,010</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572,084</w:t>
            </w:r>
          </w:p>
        </w:tc>
        <w:tc>
          <w:tcPr>
            <w:tcW w:w="42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16,926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36,811</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78,321</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(41,510)</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(9,019)</w:t>
            </w: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27,348</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77,877</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(50,529)</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11,343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20,464</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(9,121)</w:t>
            </w: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16,005</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57,413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(41,408)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2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6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18,392</w:t>
            </w: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844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15,212</w:t>
            </w:r>
          </w:p>
        </w:tc>
        <w:tc>
          <w:tcPr>
            <w:tcW w:w="11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168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18,392 $</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844 $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635,025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15,212 $</w:t>
            </w:r>
          </w:p>
        </w:tc>
        <w:tc>
          <w:tcPr>
            <w:tcW w:w="1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168 $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650,405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as compared to the strong customer payment activity and low delinquencies it experienced during the third quarter of 2021. The provision for uncollectible renewal payments, which is recorded as a reduction to lease revenues and fees, was $104.3 million in the third quarter of 2022 compared to $61.5 million in the third quarter of 2021. Lease revenues and fees were also lower as a result of our tighter lease decisioning beginning in mid-2022, fewer customers electing to exercise early lease buyouts in the third quarter of 2022, as compared to the third quarter of 2021, and an 11.3% decrease in GMV. The increase in Vive revenues was primarily due to higher loans receivable driven by strong GMV growth in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for the third quarter of 2022 as compared to the third quarter of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47,432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47,302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4,890</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6,667</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(1,777)</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1,688</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2,497</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4,291</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(1,794)</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6,460</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(2,235)</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7,720</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5,871</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1,849</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6,829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5,683</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1,146</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12,354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11,620</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734</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87,604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89,582</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(1,978)</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12,031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3,868</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8,163</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8,425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8,603</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(178)</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4,673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4,673</w:t>
            </w: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112,733</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102,053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10,680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37" w:lineRule="auto"/>
        <w:tabs>
          <w:tab w:leader="none" w:pos="7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1" w:lineRule="exact"/>
        <w:rPr>
          <w:sz w:val="20"/>
          <w:szCs w:val="20"/>
          <w:color w:val="auto"/>
        </w:rPr>
      </w:pPr>
    </w:p>
    <w:p>
      <w:pPr>
        <w:ind w:left="80" w:hanging="72"/>
        <w:spacing w:after="0"/>
        <w:tabs>
          <w:tab w:leader="none" w:pos="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80" w:hanging="72"/>
        <w:spacing w:after="0"/>
        <w:tabs>
          <w:tab w:leader="none" w:pos="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$75.2 million and $80.2 million during the three months ended September 30, 2022 and 2021, respectively.</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42424"/>
        </w:rPr>
        <w:t xml:space="preserve">The provision for loan losses increased $8.2 million compared to the prior year quarter due to the unfavorable economic conditions present </w:t>
      </w:r>
      <w:r>
        <w:rPr>
          <w:rFonts w:ascii="Times New Roman" w:cs="Times New Roman" w:eastAsia="Times New Roman" w:hAnsi="Times New Roman"/>
          <w:sz w:val="18"/>
          <w:szCs w:val="18"/>
          <w:color w:val="000000"/>
        </w:rPr>
        <w:t>during the three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months ended September 30, 2022, including a rapid increase in inflation and the absence of government stimulus payments and enhanced unemployment benefits and child tax credits, as compared to the same period in 2021, resulting in Vive's delinquencies returning to pre-pandemic levels. The provision for loan losses also increased due to growth in GMV at Four since it was acquired in June 2021. </w:t>
      </w:r>
      <w:r>
        <w:rPr>
          <w:rFonts w:ascii="Times New Roman" w:cs="Times New Roman" w:eastAsia="Times New Roman" w:hAnsi="Times New Roman"/>
          <w:sz w:val="18"/>
          <w:szCs w:val="18"/>
          <w:color w:val="242424"/>
        </w:rPr>
        <w:t>The provision for loan losses as a percentage of interest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fees revenue increased to 62.5% </w:t>
      </w:r>
      <w:r>
        <w:rPr>
          <w:rFonts w:ascii="Times New Roman" w:cs="Times New Roman" w:eastAsia="Times New Roman" w:hAnsi="Times New Roman"/>
          <w:sz w:val="18"/>
          <w:szCs w:val="18"/>
          <w:color w:val="000000"/>
        </w:rPr>
        <w:t>for the three months ended September 30, 2022</w:t>
      </w:r>
      <w:r>
        <w:rPr>
          <w:rFonts w:ascii="Times New Roman" w:cs="Times New Roman" w:eastAsia="Times New Roman" w:hAnsi="Times New Roman"/>
          <w:sz w:val="18"/>
          <w:szCs w:val="18"/>
          <w:color w:val="242424"/>
        </w:rPr>
        <w:t xml:space="preserve"> compared to 25.1% in the same period in 2021 due to delinquencies at Vive returning to pre-pandemic levels and higher write-offs within our Four operations.</w:t>
      </w:r>
    </w:p>
    <w:p>
      <w:pPr>
        <w:spacing w:after="0" w:line="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42424"/>
        </w:rPr>
        <w:t xml:space="preserve">Restructuring expense of $4.7 million </w:t>
      </w:r>
      <w:r>
        <w:rPr>
          <w:rFonts w:ascii="Times New Roman" w:cs="Times New Roman" w:eastAsia="Times New Roman" w:hAnsi="Times New Roman"/>
          <w:sz w:val="18"/>
          <w:szCs w:val="18"/>
          <w:color w:val="000000"/>
        </w:rPr>
        <w:t>is the result of a number of restructuring activities which were initiated by the Company</w:t>
      </w:r>
      <w:r>
        <w:rPr>
          <w:rFonts w:ascii="Times New Roman" w:cs="Times New Roman" w:eastAsia="Times New Roman" w:hAnsi="Times New Roman"/>
          <w:sz w:val="18"/>
          <w:szCs w:val="18"/>
          <w:color w:val="242424"/>
        </w:rPr>
        <w:t xml:space="preserve"> in the second quarter of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42424"/>
        </w:rPr>
        <w:t>, and which continued in the third quarter.</w:t>
      </w:r>
      <w:r>
        <w:rPr>
          <w:rFonts w:ascii="Times New Roman" w:cs="Times New Roman" w:eastAsia="Times New Roman" w:hAnsi="Times New Roman"/>
          <w:sz w:val="18"/>
          <w:szCs w:val="18"/>
          <w:color w:val="000000"/>
        </w:rPr>
        <w:t xml:space="preserve"> Those activities are intended to reduce expenses, consolidate certain segment corporate headquarters and other office locations, and align the cost structure of the business with our near-term revenue outlook. </w:t>
      </w:r>
      <w:r>
        <w:rPr>
          <w:rFonts w:ascii="Times New Roman" w:cs="Times New Roman" w:eastAsia="Times New Roman" w:hAnsi="Times New Roman"/>
          <w:sz w:val="18"/>
          <w:szCs w:val="18"/>
          <w:color w:val="242424"/>
        </w:rPr>
        <w:t>The restructuring expense was</w:t>
      </w:r>
      <w:r>
        <w:rPr>
          <w:rFonts w:ascii="Times New Roman" w:cs="Times New Roman" w:eastAsia="Times New Roman" w:hAnsi="Times New Roman"/>
          <w:sz w:val="18"/>
          <w:szCs w:val="18"/>
          <w:color w:val="000000"/>
        </w:rPr>
        <w:t xml:space="preserve"> primarily comprised of severance costs associated with Progressive Leasing employees and operating lease right-of-use asset impairment charges related to a reduction in call center office space.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decreased by 3.0% during the three months ended September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2021. As a percentage of total lease revenues and fees, depreciation of lease merchandise increased to 69.7% from 68.6% in the prior year quarter, primarily due to an increase in uncollectible renewal payments, which is recorded as a reduction to lease revenues and fees.</w:t>
      </w:r>
    </w:p>
    <w:p>
      <w:pPr>
        <w:spacing w:after="0" w:line="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$9.4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during the three months ended September 30, 2022, compared to the strong customer payment activity and lower lease merchandise write-offs Progressive Leasing experienced during the same period in 2021. Given the significant economic uncertainty resulting from the rate of the increase in inflation in recent months, the absence of government stimulus payments and enhanced unemployment benefits and child tax credits in 2022, which we believe benefited many of our customers in 2021, the ongoing impacts of the COVID-19 pandemic, and the potential effects of such developments on Progressive Leasing's POS partners, customers, and business going forward, a high level of estimation was involved in determining the allowance as of September 30, 2022. Actual lease merchandise write-offs could differ materially from the allowance for those write-offs.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ind w:right="300"/>
        <w:spacing w:after="0" w:line="261"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increased to 7.2% during the three months ended September 30, 2022 from 5.4% in the same period in 2021. The increase in the provision was a result of higher customer payment delinquencies and write-offs on leases originated prior to the Company tightening its lease decisioning in mid-2022 to address the unfavorable economic conditions, as compared to the strong customer payment activity and low lease merchandise write-offs we experienced in 2021.</w:t>
      </w:r>
    </w:p>
    <w:p>
      <w:pPr>
        <w:spacing w:after="0" w:line="4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2022. Refer to Note 1 of these condensed consolidated financial statements for further discussion of the interim goodwill impairment assessment and resulting impairment charge.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43,492</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76,435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(32,943)</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(43.1)%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1,376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6,354</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(4,978)</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(12,608)</w:t>
            </w: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27,348</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77,877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(50,529)</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(64.9)%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$17.5 million loss before income tax expense within "Other" primarily relates to our Four operations and includes a $10.2 million impairment loss related to the partial impairment of Four's goodwill. Other factors impacting the change in earnings before income taxes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Income tax expense decreased to $11.3 million for the three months ended September 30, 2022 compared to $20.5 million in the prior year comparable period due to lower earnings before income taxes. The effective income tax rate for the three months ended September 30, 2022 was 41.5% compared to</w:t>
      </w:r>
    </w:p>
    <w:p>
      <w:pPr>
        <w:ind w:right="20"/>
        <w:spacing w:after="0" w:line="255" w:lineRule="auto"/>
        <w:rPr>
          <w:sz w:val="20"/>
          <w:szCs w:val="20"/>
          <w:color w:val="auto"/>
        </w:rPr>
      </w:pPr>
      <w:r>
        <w:rPr>
          <w:rFonts w:ascii="Times New Roman" w:cs="Times New Roman" w:eastAsia="Times New Roman" w:hAnsi="Times New Roman"/>
          <w:sz w:val="18"/>
          <w:szCs w:val="18"/>
          <w:color w:val="auto"/>
        </w:rPr>
        <w:t>26.3% for the same period in 2021. The increase in the effective tax rate was primarily driven by discrete income tax expenses related to the non-deductible goodwill impairment loss for Four of $10.2 million, interest on the Company's uncertain tax position liabilities, and a permanent adjustment for employee stock-based compensation vesting.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1,930,843</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1,989,055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(58,212)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54,886</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42,322</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12,564</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1,985,729</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2,031,377</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(45,648)</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1,358,713</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1,380,572</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(21,859)</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155,655</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84,072</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71,583</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337,997</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289,994</w:t>
            </w:r>
          </w:p>
        </w:tc>
        <w:tc>
          <w:tcPr>
            <w:tcW w:w="400" w:type="dxa"/>
            <w:vAlign w:val="bottom"/>
          </w:tcPr>
          <w:p>
            <w:pPr>
              <w:spacing w:after="0"/>
              <w:rPr>
                <w:sz w:val="19"/>
                <w:szCs w:val="19"/>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48,003</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10,151</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10,151</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1,862,516</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1,754,638</w:t>
            </w:r>
          </w:p>
        </w:tc>
        <w:tc>
          <w:tcPr>
            <w:tcW w:w="400" w:type="dxa"/>
            <w:vAlign w:val="bottom"/>
          </w:tcPr>
          <w:p>
            <w:pPr>
              <w:spacing w:after="0"/>
              <w:rPr>
                <w:sz w:val="19"/>
                <w:szCs w:val="19"/>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107,878</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123,213</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276,739</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(153,526)</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(27,308)</w:t>
            </w: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94,513</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275,347</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(180,834)</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31,889</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69,609</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(37,720)</w:t>
            </w: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62,624</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205,738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(143,114)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53,026</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1,860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42,154</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168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53,026 $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1,860 $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1,989,055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42,154 $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168,000 $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2,031,377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for Progressive Leasing, as compared to the strong customer payment activity and low delinquencies it experienced during the nine months ended September 30, 2021. The provision for uncollectible renewal payments, which is recorded as a reduction to lease revenues and fees, was $289.8 million for the nine months ended September 30, 2022 compared to $137.8 million in the same period in 2021. Lease revenues and fees were also lower as a result of fewer customers electing to exercise early lease buyouts during the nine months ended September 30, 2022, as compared to the same period in 2021, and a 4.9% decline in Progressive Leasing's GMV in the nine months ended September 30, 2022, as compared to the same period in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about certain significant components of operating expenses for the nine months ended September 30, 2022 as compared to the nine months ended September 30, 2021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137,363</w:t>
            </w:r>
          </w:p>
        </w:tc>
        <w:tc>
          <w:tcPr>
            <w:tcW w:w="8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13,050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4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14,803</w:t>
            </w:r>
          </w:p>
        </w:tc>
        <w:tc>
          <w:tcPr>
            <w:tcW w:w="86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(873)</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4,881</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4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11,944</w:t>
            </w:r>
          </w:p>
        </w:tc>
        <w:tc>
          <w:tcPr>
            <w:tcW w:w="86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(1,400)</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18,135</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(2,127)</w:t>
            </w: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4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17,121</w:t>
            </w:r>
          </w:p>
        </w:tc>
        <w:tc>
          <w:tcPr>
            <w:tcW w:w="860" w:type="dxa"/>
            <w:vAlign w:val="bottom"/>
          </w:tcPr>
          <w:p>
            <w:pPr>
              <w:spacing w:after="0"/>
              <w:rPr>
                <w:sz w:val="19"/>
                <w:szCs w:val="19"/>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4,488</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14,477</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5,470</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32,090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5,517</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275,059</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250,814</w:t>
            </w:r>
          </w:p>
        </w:tc>
        <w:tc>
          <w:tcPr>
            <w:tcW w:w="8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24,245</w:t>
            </w: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4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14,724</w:t>
            </w:r>
          </w:p>
        </w:tc>
        <w:tc>
          <w:tcPr>
            <w:tcW w:w="860" w:type="dxa"/>
            <w:vAlign w:val="bottom"/>
          </w:tcPr>
          <w:p>
            <w:pPr>
              <w:spacing w:after="0"/>
              <w:rPr>
                <w:sz w:val="19"/>
                <w:szCs w:val="19"/>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13,767</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24,456</w:t>
            </w: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990</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9,001</w:t>
            </w: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289,994</w:t>
            </w:r>
          </w:p>
        </w:tc>
        <w:tc>
          <w:tcPr>
            <w:tcW w:w="8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rPr>
              <w:t>48,003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37" w:lineRule="auto"/>
        <w:tabs>
          <w:tab w:leader="none" w:pos="7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spacing w:after="0" w:line="11" w:lineRule="exact"/>
        <w:rPr>
          <w:sz w:val="20"/>
          <w:szCs w:val="20"/>
          <w:color w:val="auto"/>
        </w:rPr>
      </w:pPr>
    </w:p>
    <w:p>
      <w:pPr>
        <w:ind w:left="80" w:hanging="72"/>
        <w:spacing w:after="0"/>
        <w:tabs>
          <w:tab w:leader="none" w:pos="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80" w:hanging="72"/>
        <w:spacing w:after="0"/>
        <w:tabs>
          <w:tab w:leader="none" w:pos="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$243.1 million and $231.7 million during the nine months ended September 30, 2022 and 2021,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personnel costs of $13.1 million was driven by an increase of $6.7 million and $2.0 million at Progressive Leasing and Vive,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wage increases and promotions, partially offset by a reduction in short-term incentive expense at Progressive Leasing.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million in personnel costs was attributable to the acquisition and growth of Four, and other strategic initiatives started by the Company in 2021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incurring costs during 2022.</w:t>
      </w:r>
    </w:p>
    <w:p>
      <w:pPr>
        <w:spacing w:after="0" w:line="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Sales acquisition expense increased $4.5 million compared to the prior year period primarily due to increased incentives, sales commissions, and other expenses at Progressive Leasing to promote lease originations with its POS partners.</w:t>
      </w:r>
    </w:p>
    <w:p>
      <w:pPr>
        <w:spacing w:after="0" w:line="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Computer software expense increased $5.5 million primarily due to an increase in non-capitalizable costs for software implementation projects by Progressive Leasing during the nine months ended September 30, 2022, new strategic initiatives started by the Company in 2021 that continued incurring costs in 2022, and increased software and licensing costs.</w:t>
      </w:r>
    </w:p>
    <w:p>
      <w:pPr>
        <w:spacing w:after="0" w:line="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sales, general and administrative expense increased $5.5 million primarily due to additional administrative costs within Progressive Leasing during the nine months ended September 30, 2022, in addition to an increase of $1.1 million due to the acquisition and growth of Four, and other strategic initiatives started by the Company in 2021 that continued incurring costs during 2022.</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Provision for loan losses increased $13.8 million compared to the same period in 2021 due to unfavorable economic conditions present during the nine months ended September 30, 2022, including a rapid increase in inflation and the absence of government stimulus payments and enhanced unemployment benefits and child tax credits, as compared to the same period in 2021, resulting in Vive's delinquencies returning to pre-pandemic levels. The provision for loan losses also increased due to growth in GMV at Four since it was acquired in June 2021. </w:t>
      </w:r>
      <w:r>
        <w:rPr>
          <w:rFonts w:ascii="Times New Roman" w:cs="Times New Roman" w:eastAsia="Times New Roman" w:hAnsi="Times New Roman"/>
          <w:sz w:val="18"/>
          <w:szCs w:val="18"/>
          <w:color w:val="242424"/>
        </w:rPr>
        <w:t>Th</w:t>
      </w:r>
      <w:r>
        <w:rPr>
          <w:rFonts w:ascii="Times New Roman" w:cs="Times New Roman" w:eastAsia="Times New Roman" w:hAnsi="Times New Roman"/>
          <w:sz w:val="18"/>
          <w:szCs w:val="18"/>
          <w:color w:val="auto"/>
        </w:rPr>
        <w:t>e provision for loan losses as a percentage of interest and fees revenue increased to 51.9% for the nine months ended September 30, 2022 com</w:t>
      </w:r>
      <w:r>
        <w:rPr>
          <w:rFonts w:ascii="Times New Roman" w:cs="Times New Roman" w:eastAsia="Times New Roman" w:hAnsi="Times New Roman"/>
          <w:sz w:val="18"/>
          <w:szCs w:val="18"/>
          <w:color w:val="242424"/>
        </w:rPr>
        <w:t>pared to 34.8% in the same period in</w:t>
      </w:r>
      <w:r>
        <w:rPr>
          <w:rFonts w:ascii="Times New Roman" w:cs="Times New Roman" w:eastAsia="Times New Roman" w:hAnsi="Times New Roman"/>
          <w:sz w:val="18"/>
          <w:szCs w:val="18"/>
          <w:color w:val="auto"/>
        </w:rPr>
        <w:t xml:space="preserve"> 2021, </w:t>
      </w:r>
      <w:r>
        <w:rPr>
          <w:rFonts w:ascii="Times New Roman" w:cs="Times New Roman" w:eastAsia="Times New Roman" w:hAnsi="Times New Roman"/>
          <w:sz w:val="18"/>
          <w:szCs w:val="18"/>
          <w:color w:val="242424"/>
        </w:rPr>
        <w:t>due to delinquencies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Vive returning to pre-pandemic levels and higher write-offs within our Four operations.</w:t>
      </w:r>
    </w:p>
    <w:p>
      <w:pPr>
        <w:spacing w:after="0" w:line="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42424"/>
        </w:rPr>
        <w:t xml:space="preserve">Restructuring expense of $9.0 million </w:t>
      </w:r>
      <w:r>
        <w:rPr>
          <w:rFonts w:ascii="Times New Roman" w:cs="Times New Roman" w:eastAsia="Times New Roman" w:hAnsi="Times New Roman"/>
          <w:sz w:val="18"/>
          <w:szCs w:val="18"/>
          <w:color w:val="000000"/>
        </w:rPr>
        <w:t>is the result of a number of restructuring activities initiated by the Company during the nine months ended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September 30, 2022 intended to reduce expenses, consolidate certain segment corporate headquarters and other office locations, and align the cost structure of the business with our near-term revenue outlook. </w:t>
      </w:r>
      <w:r>
        <w:rPr>
          <w:rFonts w:ascii="Times New Roman" w:cs="Times New Roman" w:eastAsia="Times New Roman" w:hAnsi="Times New Roman"/>
          <w:sz w:val="18"/>
          <w:szCs w:val="18"/>
          <w:color w:val="242424"/>
        </w:rPr>
        <w:t>The restructuring expense</w:t>
      </w:r>
      <w:r>
        <w:rPr>
          <w:rFonts w:ascii="Times New Roman" w:cs="Times New Roman" w:eastAsia="Times New Roman" w:hAnsi="Times New Roman"/>
          <w:sz w:val="18"/>
          <w:szCs w:val="18"/>
          <w:color w:val="000000"/>
        </w:rPr>
        <w:t xml:space="preserve"> was primarily comprised of severance costs associated with a reduction in Progressive Leasing's workforce and operating lease right-of-use asset impairment charges related to a reduction in call center office space and the relocation of the Vive corporate headquarters to the Company's corporate office building.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decreased by 1.6% due to fewer customers exercising early lease buyout elections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2022 compared to the same period in 2021. As a percentage of total lease revenues and fees, depreciation of lease merchandise increased to 70.4% from 69.4% in the prior year period, primarily due to an increase in uncollectible renewal payments during the nine months ended September 30, 2022 compared to the same period in 2021.</w:t>
      </w:r>
    </w:p>
    <w:p>
      <w:pPr>
        <w:spacing w:after="0" w:line="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$71.6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during the nine months ended September 30, 2022, compared to the strong customer payment activity and lower lease merchandise write-offs we experienced during the same period in 2021. Given the significant economic uncertainty resulting from the rate of the increase in inflation experienced in recent months, the absence of government stimulus payments and enhanced unemployment benefits and child tax credits, which we believe benefited many of our customers in 2021, and the ongoing impacts of the COVID-19 pandemic and the potential effects of such developments on our POS partners, customers, and business going forward, a high level of estimation was involved in determining the allowance as of September 30, 2022. Actual lease merchandise write-offs could differ materially from the allowance.</w:t>
      </w:r>
    </w:p>
    <w:p>
      <w:pPr>
        <w:spacing w:after="0" w:line="6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increased to 8.1% for the nine months ended September 30, 2022 from 4.2% for the same period in 2021. The increase in the provision was due to higher customer payment delinquencies and write-offs on leases originated in the first half of 2022, prior to the Company further tightening its lease decisioning in mid-2022 to address the unfavorable economic conditions, and changes in estimates on the allowance as discussed above.</w:t>
      </w:r>
    </w:p>
    <w:p>
      <w:pPr>
        <w:spacing w:after="0" w:line="5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Refer to Note 1 of these condensed consolidated financial statements for further discussion of the interim goodwill impairment assessment and resulting impairment charge.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taxes by reportable segment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c>
          <w:tcPr>
            <w:tcW w:w="1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112,956</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268,128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(155,172)</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(57.9)%</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9,154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12,131</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(2,977)</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(22,685)</w:t>
            </w: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94,513</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275,347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(180,834)</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(65.7)%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$27.6 million loss before income tax expense within "Other" primarily relates to our Four operations and includes a $10.2 million impairment loss related to the partial impairment of Four's goodwill. Other factors impacting the change in earnings before income taxes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Income tax expense decreased to $31.9 million for the nine months ended September 30, 2022 compared to $69.6 million in the prior year comparable period due to lower earnings before income taxes. The effective tax rate was 33.7% during the nine months ended September 30, 2022 compared to 25.3% in the same period in 2021. The increase in the effective tax rate was primarily driven by discrete income tax expenses related to the non-deductible goodwill impairment loss for Four of $10.2 million, interest on the Company's uncertain tax position liabilities, and a permanent adjustment for employee stock-based compensation vesting.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condensed consolidated balance sheet from December 31, 2021 to September 30, 2022 include:</w:t>
      </w:r>
    </w:p>
    <w:p>
      <w:pPr>
        <w:spacing w:after="0" w:line="90" w:lineRule="exact"/>
        <w:rPr>
          <w:sz w:val="20"/>
          <w:szCs w:val="20"/>
          <w:color w:val="auto"/>
        </w:rPr>
      </w:pPr>
    </w:p>
    <w:p>
      <w:pPr>
        <w:ind w:left="660" w:right="560" w:hanging="328"/>
        <w:spacing w:after="0" w:line="282"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Cash and cash equivalents increased $51.7 million to $221.9 million during the nine months ended September 30, 2022. For additional information, refer to the "Liquidity and Capital Resources" section below.</w:t>
      </w:r>
    </w:p>
    <w:p>
      <w:pPr>
        <w:spacing w:after="0" w:line="40" w:lineRule="exact"/>
        <w:rPr>
          <w:rFonts w:ascii="Times New Roman" w:cs="Times New Roman" w:eastAsia="Times New Roman" w:hAnsi="Times New Roman"/>
          <w:sz w:val="18"/>
          <w:szCs w:val="18"/>
          <w:b w:val="1"/>
          <w:bCs w:val="1"/>
          <w:i w:val="1"/>
          <w:iCs w:val="1"/>
          <w:color w:val="242424"/>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b w:val="1"/>
          <w:bCs w:val="1"/>
          <w:i w:val="1"/>
          <w:iCs w:val="1"/>
          <w:color w:val="242424"/>
        </w:rPr>
      </w:pPr>
      <w:r>
        <w:rPr>
          <w:rFonts w:ascii="Times New Roman" w:cs="Times New Roman" w:eastAsia="Times New Roman" w:hAnsi="Times New Roman"/>
          <w:sz w:val="18"/>
          <w:szCs w:val="18"/>
          <w:color w:val="auto"/>
        </w:rPr>
        <w:t>Lease merchandise, net of accumulated depreciation and allowances, decreased $147.9 million due primarily to an increase of $46.3 million in accumulated depreciation and allowance on lease merchandise and a decrease in Progressive Leasing's GMV of 31.1% for the third quarter of 2022 as compared to the fourth quarter of 2021.</w:t>
      </w: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3" w:right="659" w:bottom="1440" w:gutter="0" w:footer="0" w:header="0"/>
        </w:sectPr>
      </w:pPr>
    </w:p>
    <w:bookmarkStart w:id="32" w:name="page33"/>
    <w:bookmarkEnd w:id="3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320" w:hanging="328"/>
        <w:spacing w:after="0" w:line="312"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w:t>
      </w:r>
    </w:p>
    <w:p>
      <w:pPr>
        <w:spacing w:after="0" w:line="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$221.9 million of cash, $350.0 million of availability under the Revolving Facility, and $600.0 million of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was $283.2 million and $294.9 million during the nine months ended September 30, 2022 and 2021, respectively. The $11.7 million decrease in operating cash flows was driven by a reduction in customer payment activity compared to the prior year period, primarily due to increased customer payment delinquencies prior to the Company further tightening its lease decisioning in mid-2022 and fewer customers exercising early lease buyout options during the nine months ended September 30, 2022 as compared to the same period in 2021. The decrease in cash provided by operating activities is also a result of $17.3 million of interest paid on the Company's Senior Notes. The decrease in operating cash flows was partially offset by a $76.7 million decrease in purchases of lease merchandise by Progressive Leasing during the nine months ended September 30, 2022 compared to the same period in 2021. Other changes in cash provided by operating activities are discussed above in our discussion of results for the nine months ended September 30,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$39.9 million and $72.5 million during the nine months ended September 30, 2022 and 2021, respectively.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$32.6 million decrease in investing cash outflows in the nine months ended September 30, 2022 as compared to the same period in 2021 was primarily due to the $22.9 million of cash paid for the acquisition of Four in June 2021. Additionally, proceeds from loans receivable increased $18.1 million compared to the same period in 2021. These changes were partially offset by a $7.7 million increase in cash outflows for investments in loans receivables as compared to the same period in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$191.5 million during the nine months ended September 30, 2022 compared to $130.2 million during the same period in 2021. Cash used in financing activities in the nine months ended September 30, 2022 was primarily used for the Company's repurchase of $187.4 million of its common stock, compared to $128.2 million of share repurchases in the same period in the prior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6,687,618 shares for $187.4 million during the nine months ended September 30, 2022. As of September 30, 2022, we had the authority to purchase additional shares up to our remaining authorization limit of $373.5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9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September 30, 2022, we were in compliance with the financial covenants set forth in the Revolving Facility and believe that we will continue to be in compliance in the future.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September 30, 2022 and believe that we will continue to be in compliance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made net tax payments of $31.1 million. Within the next three months, we anticipate making estimated tax payments of $19.3 million for United States federal income taxes and state income taxes.</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Deferred income tax liabilities as of September 30, 2022 were $140.5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Future interest payments on the Company's variable-rate debt are based on a rate per annum equal to, at our option, (i) the London Interbank Overnight ("LIBO") rate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September 30,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26, 2021, the Company issued $600 million aggregate principal amount of Senior Notes that bear a fixed annual interest rate of 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accrues on the outstanding balance and is payable semi-annually. The Senior Notes will mature on November 15, 2029.</w:t>
      </w:r>
    </w:p>
    <w:p>
      <w:pPr>
        <w:spacing w:after="0" w:line="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Lending Commitments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through its Vive business, had unconditionally cancellable unfunded lending commitments totaling approximately $505.8 million and $467.6 million as of September 30,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2021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Refer to Note 1 to the condensed consolidated financial statements for a discussion of recently issued accounting pronouncements, including pronouncements that were adopted in the current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2022, we had no outstanding borrowings under our Revolving Facility. Borrowings under the Revolving Facility are indexed to the LIBO rate or the prime rate, which exposes us to the risk of increased interest costs if interest rates rise. Based on the fact that the Company had no variable-rate debt outstanding as of September 30, 2022, a hypothetical 1.0% increase or decrease in interest rates would not affect interest expense.</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three and nine months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updates to its risk factors disclosure from that previously reported in the 2021 Annual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share repurchase activity for the three months ended September 30, 2022:</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2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59"/>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through July 31,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382,794,227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through August 31, 2022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290,549</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290,549</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377,283,747</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through September 30, 2022</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373,513,523</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587,752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587,752</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 w:right="40" w:hanging="72"/>
        <w:spacing w:after="0" w:line="281" w:lineRule="auto"/>
        <w:tabs>
          <w:tab w:leader="none" w:pos="69"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9640" w:type="dxa"/>
            <w:vAlign w:val="bottom"/>
            <w:gridSpan w:val="4"/>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400" w:type="dxa"/>
            <w:vAlign w:val="bottom"/>
          </w:tcPr>
          <w:p>
            <w:pPr>
              <w:spacing w:after="0"/>
              <w:rPr>
                <w:sz w:val="16"/>
                <w:szCs w:val="16"/>
                <w:color w:val="auto"/>
              </w:rPr>
            </w:pPr>
          </w:p>
        </w:tc>
        <w:tc>
          <w:tcPr>
            <w:tcW w:w="9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as amended.</w:t>
            </w: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31.2*</w:t>
            </w:r>
          </w:p>
        </w:tc>
        <w:tc>
          <w:tcPr>
            <w:tcW w:w="9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as amended.</w:t>
            </w:r>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9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32.2*</w:t>
            </w:r>
          </w:p>
        </w:tc>
        <w:tc>
          <w:tcPr>
            <w:tcW w:w="10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1350, as adopted pursuant to Section 906 of the Sarbanes-Oxley Act of 2002.</w:t>
            </w:r>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7"/>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60" w:right="160" w:hanging="774"/>
        <w:spacing w:after="0" w:line="237" w:lineRule="auto"/>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 the quarter ended September 30, 2022, formatted in Inline XBRL (included in Exhibit 101)</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0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PROG Holdings, Inc.</w:t>
            </w:r>
          </w:p>
        </w:tc>
      </w:tr>
      <w:tr>
        <w:trPr>
          <w:trHeight w:val="234"/>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26, 2022</w:t>
            </w:r>
          </w:p>
        </w:tc>
        <w:tc>
          <w:tcPr>
            <w:tcW w:w="24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Brian Garner</w:t>
            </w:r>
          </w:p>
        </w:tc>
      </w:tr>
      <w:tr>
        <w:trPr>
          <w:trHeight w:val="230"/>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26, 2022</w:t>
            </w:r>
          </w:p>
        </w:tc>
        <w:tc>
          <w:tcPr>
            <w:tcW w:w="24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SEWELL</w:t>
            </w:r>
          </w:p>
        </w:tc>
      </w:tr>
      <w:tr>
        <w:trPr>
          <w:trHeight w:val="218"/>
        </w:trPr>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Matt Sewell</w:t>
            </w:r>
          </w:p>
        </w:tc>
      </w:tr>
      <w:tr>
        <w:trPr>
          <w:trHeight w:val="229"/>
        </w:trPr>
        <w:tc>
          <w:tcPr>
            <w:tcW w:w="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Reporting</w:t>
            </w:r>
          </w:p>
        </w:tc>
      </w:tr>
      <w:tr>
        <w:trPr>
          <w:trHeight w:val="234"/>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40" w:right="1160" w:hanging="414"/>
        <w:spacing w:after="0" w:line="226"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40" w:right="1240" w:hanging="414"/>
        <w:spacing w:after="0" w:line="226"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jc w:val="both"/>
        <w:ind w:left="440" w:right="1300" w:hanging="414"/>
        <w:spacing w:after="0" w:line="226"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00" w:right="1200" w:hanging="469"/>
        <w:spacing w:after="0" w:line="224"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1220" w:hanging="469"/>
        <w:spacing w:after="0" w:line="224"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1360" w:hanging="414"/>
        <w:spacing w:after="0" w:line="226" w:lineRule="auto"/>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0" w:right="1420" w:hanging="589"/>
        <w:spacing w:after="0" w:line="22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0" w:right="1200" w:hanging="589"/>
        <w:spacing w:after="0" w:line="237"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520"/>
        <w:spacing w:after="0"/>
        <w:tabs>
          <w:tab w:leader="none" w:pos="1040" w:val="left"/>
          <w:tab w:leader="none" w:pos="5520" w:val="left"/>
        </w:tabs>
        <w:rPr>
          <w:sz w:val="20"/>
          <w:szCs w:val="20"/>
          <w:color w:val="auto"/>
        </w:rPr>
      </w:pPr>
      <w:r>
        <w:rPr>
          <w:rFonts w:ascii="Times New Roman" w:cs="Times New Roman" w:eastAsia="Times New Roman" w:hAnsi="Times New Roman"/>
          <w:sz w:val="18"/>
          <w:szCs w:val="18"/>
          <w:color w:val="auto"/>
        </w:rPr>
        <w:t>Date:</w:t>
        <w:tab/>
        <w:t>October 26, 2022</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1894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20"/>
          </w:cols>
          <w:pgMar w:left="144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02" w:right="1280" w:hanging="402"/>
        <w:spacing w:after="0" w:line="226" w:lineRule="auto"/>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02" w:right="1060" w:hanging="402"/>
        <w:spacing w:after="0" w:line="226" w:lineRule="auto"/>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402" w:right="1180" w:hanging="402"/>
        <w:spacing w:after="0" w:line="226" w:lineRule="auto"/>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22" w:right="1340" w:hanging="517"/>
        <w:spacing w:after="0" w:line="224" w:lineRule="auto"/>
        <w:tabs>
          <w:tab w:leader="none" w:pos="9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22" w:right="1060" w:hanging="517"/>
        <w:spacing w:after="0" w:line="224" w:lineRule="auto"/>
        <w:tabs>
          <w:tab w:leader="none" w:pos="9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922" w:right="1180" w:hanging="517"/>
        <w:spacing w:after="0" w:line="226" w:lineRule="auto"/>
        <w:tabs>
          <w:tab w:leader="none" w:pos="9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22" w:right="1100" w:hanging="517"/>
        <w:spacing w:after="0" w:line="226" w:lineRule="auto"/>
        <w:tabs>
          <w:tab w:leader="none" w:pos="9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02" w:right="1120" w:hanging="402"/>
        <w:spacing w:after="0" w:line="226" w:lineRule="auto"/>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2" w:right="1040" w:hanging="617"/>
        <w:spacing w:after="0" w:line="226" w:lineRule="auto"/>
        <w:tabs>
          <w:tab w:leader="none" w:pos="1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2" w:right="1100" w:hanging="617"/>
        <w:spacing w:after="0" w:line="237" w:lineRule="auto"/>
        <w:tabs>
          <w:tab w:leader="none" w:pos="1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662"/>
        <w:spacing w:after="0"/>
        <w:tabs>
          <w:tab w:leader="none" w:pos="1281" w:val="left"/>
          <w:tab w:leader="none" w:pos="5841" w:val="left"/>
        </w:tabs>
        <w:rPr>
          <w:sz w:val="20"/>
          <w:szCs w:val="20"/>
          <w:color w:val="auto"/>
        </w:rPr>
      </w:pPr>
      <w:r>
        <w:rPr>
          <w:rFonts w:ascii="Times New Roman" w:cs="Times New Roman" w:eastAsia="Times New Roman" w:hAnsi="Times New Roman"/>
          <w:sz w:val="18"/>
          <w:szCs w:val="18"/>
          <w:color w:val="auto"/>
        </w:rPr>
        <w:t>Date:</w:t>
        <w:tab/>
        <w:t>October 26, 2022</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17145</wp:posOffset>
            </wp:positionV>
            <wp:extent cx="1722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22"/>
          </w:cols>
          <w:pgMar w:left="1338"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spacing w:after="0" w:line="189" w:lineRule="exact"/>
        <w:rPr>
          <w:sz w:val="20"/>
          <w:szCs w:val="20"/>
          <w:color w:val="auto"/>
        </w:rPr>
      </w:pPr>
    </w:p>
    <w:p>
      <w:pPr>
        <w:ind w:left="60" w:right="3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75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4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U.S.C. Section 1350 that:</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76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bullet"/>
      <w:start w:val="1"/>
    </w:lvl>
  </w:abstractNum>
  <w:abstractNum w:abstractNumId="3">
    <w:nsid w:val="41A7C4C9"/>
    <w:multiLevelType w:val="hybridMultilevel"/>
    <w:lvl w:ilvl="0">
      <w:lvlJc w:val="left"/>
      <w:lvlText w:val="%1)"/>
      <w:numFmt w:val="decimal"/>
      <w:start w:val="848"/>
    </w:lvl>
  </w:abstractNum>
  <w:abstractNum w:abstractNumId="4">
    <w:nsid w:val="6B68079A"/>
    <w:multiLevelType w:val="hybridMultilevel"/>
    <w:lvl w:ilvl="0">
      <w:lvlJc w:val="left"/>
      <w:lvlText w:val="1"/>
      <w:numFmt w:val="bullet"/>
      <w:start w:val="1"/>
    </w:lvl>
  </w:abstractNum>
  <w:abstractNum w:abstractNumId="5">
    <w:nsid w:val="4E6AFB66"/>
    <w:multiLevelType w:val="hybridMultilevel"/>
    <w:lvl w:ilvl="0">
      <w:lvlJc w:val="left"/>
      <w:lvlText w:val="1"/>
      <w:numFmt w:val="bullet"/>
      <w:start w:val="1"/>
    </w:lvl>
  </w:abstractNum>
  <w:abstractNum w:abstractNumId="6">
    <w:nsid w:val="25E45D32"/>
    <w:multiLevelType w:val="hybridMultilevel"/>
    <w:lvl w:ilvl="0">
      <w:lvlJc w:val="left"/>
      <w:lvlText w:val="2"/>
      <w:numFmt w:val="bullet"/>
      <w:start w:val="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1"/>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bullet"/>
      <w:start w:val="1"/>
    </w:lvl>
  </w:abstractNum>
  <w:abstractNum w:abstractNumId="13">
    <w:nsid w:val="436C6125"/>
    <w:multiLevelType w:val="hybridMultilevel"/>
    <w:lvl w:ilvl="0">
      <w:lvlJc w:val="left"/>
      <w:lvlText w:val="2"/>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1"/>
      <w:numFmt w:val="bullet"/>
      <w:start w:val="1"/>
    </w:lvl>
  </w:abstractNum>
  <w:abstractNum w:abstractNumId="17">
    <w:nsid w:val="2443A858"/>
    <w:multiLevelType w:val="hybridMultilevel"/>
    <w:lvl w:ilvl="0">
      <w:lvlJc w:val="left"/>
      <w:lvlText w:val="2"/>
      <w:numFmt w:val="bullet"/>
      <w:start w:val="1"/>
    </w:lvl>
  </w:abstractNum>
  <w:abstractNum w:abstractNumId="18">
    <w:nsid w:val="2D1D5AE9"/>
    <w:multiLevelType w:val="hybridMultilevel"/>
    <w:lvl w:ilvl="0">
      <w:lvlJc w:val="left"/>
      <w:lvlText w:val="3"/>
      <w:numFmt w:val="bullet"/>
      <w:start w:val="1"/>
    </w:lvl>
  </w:abstractNum>
  <w:abstractNum w:abstractNumId="19">
    <w:nsid w:val="6763845E"/>
    <w:multiLevelType w:val="hybridMultilevel"/>
    <w:lvl w:ilvl="0">
      <w:lvlJc w:val="left"/>
      <w:lvlText w:val="4"/>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bullet"/>
      <w:start w:val="1"/>
    </w:lvl>
  </w:abstractNum>
  <w:abstractNum w:abstractNumId="24">
    <w:nsid w:val="B03E0C6"/>
    <w:multiLevelType w:val="hybridMultilevel"/>
    <w:lvl w:ilvl="0">
      <w:lvlJc w:val="left"/>
      <w:lvlText w:val="%1"/>
      <w:numFmt w:val="decimal"/>
      <w:start w:val="104"/>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2022-10-26T08:33:59Z</dcterms:created>
  <dcterms:modified xsi:type="dcterms:W3CDTF">2022-10-26T08:33:59Z</dcterms:modified>
</cp:coreProperties>
</file>