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60" w:after="283"/>
        <w:jc w:val="center"/>
        <w:rPr>
          <w:color w:val="000000"/>
        </w:rPr>
      </w:pPr>
      <w:r>
        <w:rPr>
          <w:color w:val="000000"/>
        </w:rPr>
        <w:t> </w:t>
      </w:r>
      <w:r>
        <w:rPr>
          <w:rFonts w:ascii="Times New Roman;serif" w:hAnsi="Times New Roman;serif"/>
          <w:b w:val="false"/>
          <w:color w:val="000000"/>
          <w:sz w:val="18"/>
        </w:rPr>
        <w:t>________________________________</w:t>
      </w:r>
    </w:p>
    <w:p>
      <w:pPr>
        <w:pStyle w:val="TextBody"/>
        <w:bidi w:val="0"/>
        <w:spacing w:lineRule="auto" w:line="288" w:before="60" w:after="283"/>
        <w:jc w:val="center"/>
        <w:rPr/>
      </w:pPr>
      <w:r>
        <w:rPr>
          <w:color w:val="000000"/>
        </w:rPr>
        <w:t> </w:t>
      </w:r>
      <w:r>
        <w:rPr>
          <w:rFonts w:ascii="Times New Roman;serif" w:hAnsi="Times New Roman;serif"/>
          <w:b/>
          <w:color w:val="000000"/>
          <w:sz w:val="36"/>
        </w:rPr>
        <w:t xml:space="preserve">FORM 8-K </w:t>
      </w:r>
    </w:p>
    <w:p>
      <w:pPr>
        <w:pStyle w:val="TextBody"/>
        <w:bidi w:val="0"/>
        <w:spacing w:lineRule="auto" w:line="288" w:before="60" w:after="283"/>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w:t>
      </w:r>
    </w:p>
    <w:p>
      <w:pPr>
        <w:pStyle w:val="TextBody"/>
        <w:bidi w:val="0"/>
        <w:spacing w:lineRule="auto" w:line="345"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13 or 15(d) of the</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August 5, 2026</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386" w:type="dxa"/>
        <w:jc w:val="center"/>
        <w:tblInd w:w="0" w:type="dxa"/>
        <w:tblLayout w:type="fixed"/>
        <w:tblCellMar>
          <w:top w:w="28" w:type="dxa"/>
          <w:left w:w="28" w:type="dxa"/>
          <w:bottom w:w="28" w:type="dxa"/>
          <w:right w:w="28" w:type="dxa"/>
        </w:tblCellMar>
      </w:tblPr>
      <w:tblGrid>
        <w:gridCol w:w="587"/>
        <w:gridCol w:w="515"/>
        <w:gridCol w:w="515"/>
        <w:gridCol w:w="515"/>
        <w:gridCol w:w="515"/>
        <w:gridCol w:w="739"/>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338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Times New Roman;serif" w:hAnsi="Times New Roman;serif"/>
                <w:b/>
                <w:color w:val="000000"/>
                <w:sz w:val="28"/>
              </w:rPr>
            </w:pPr>
            <w:r>
              <w:rPr>
                <w:rFonts w:ascii="Times New Roman;serif" w:hAnsi="Times New Roman;serif"/>
                <w:b/>
                <w:color w:val="000000"/>
                <w:sz w:val="28"/>
              </w:rPr>
              <w:t>PROG HOLDINGS, INC.</w:t>
            </w:r>
          </w:p>
        </w:tc>
      </w:tr>
    </w:tbl>
    <w:p>
      <w:pPr>
        <w:pStyle w:val="TextBody"/>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7537" w:type="dxa"/>
        <w:jc w:val="left"/>
        <w:tblInd w:w="0" w:type="dxa"/>
        <w:tblLayout w:type="fixed"/>
        <w:tblCellMar>
          <w:top w:w="28" w:type="dxa"/>
          <w:left w:w="28" w:type="dxa"/>
          <w:bottom w:w="28" w:type="dxa"/>
          <w:right w:w="28" w:type="dxa"/>
        </w:tblCellMar>
      </w:tblPr>
      <w:tblGrid>
        <w:gridCol w:w="1334"/>
        <w:gridCol w:w="1175"/>
        <w:gridCol w:w="1181"/>
        <w:gridCol w:w="109"/>
        <w:gridCol w:w="109"/>
        <w:gridCol w:w="109"/>
        <w:gridCol w:w="513"/>
        <w:gridCol w:w="513"/>
        <w:gridCol w:w="518"/>
        <w:gridCol w:w="109"/>
        <w:gridCol w:w="109"/>
        <w:gridCol w:w="109"/>
        <w:gridCol w:w="481"/>
        <w:gridCol w:w="481"/>
        <w:gridCol w:w="687"/>
      </w:tblGrid>
      <w:tr>
        <w:trPr/>
        <w:tc>
          <w:tcPr>
            <w:tcW w:w="133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1-39628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85-2484385</w:t>
            </w:r>
          </w:p>
        </w:tc>
      </w:tr>
      <w:tr>
        <w:trPr/>
        <w:tc>
          <w:tcPr>
            <w:tcW w:w="36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4774" w:type="dxa"/>
        <w:jc w:val="center"/>
        <w:tblInd w:w="0" w:type="dxa"/>
        <w:tblLayout w:type="fixed"/>
        <w:tblCellMar>
          <w:top w:w="28" w:type="dxa"/>
          <w:left w:w="28" w:type="dxa"/>
          <w:bottom w:w="28" w:type="dxa"/>
          <w:right w:w="28" w:type="dxa"/>
        </w:tblCellMar>
      </w:tblPr>
      <w:tblGrid>
        <w:gridCol w:w="618"/>
        <w:gridCol w:w="540"/>
        <w:gridCol w:w="547"/>
        <w:gridCol w:w="114"/>
        <w:gridCol w:w="114"/>
        <w:gridCol w:w="114"/>
        <w:gridCol w:w="241"/>
        <w:gridCol w:w="241"/>
        <w:gridCol w:w="243"/>
        <w:gridCol w:w="173"/>
        <w:gridCol w:w="173"/>
        <w:gridCol w:w="175"/>
        <w:gridCol w:w="109"/>
        <w:gridCol w:w="109"/>
        <w:gridCol w:w="109"/>
        <w:gridCol w:w="337"/>
        <w:gridCol w:w="337"/>
        <w:gridCol w:w="480"/>
      </w:tblGrid>
      <w:tr>
        <w:trPr/>
        <w:tc>
          <w:tcPr>
            <w:tcW w:w="61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256 W. Data Drive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Draper,</w:t>
            </w:r>
          </w:p>
        </w:tc>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Utah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84020-2315</w:t>
            </w:r>
          </w:p>
        </w:tc>
      </w:tr>
      <w:tr>
        <w:trPr/>
        <w:tc>
          <w:tcPr>
            <w:tcW w:w="329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345" w:before="0" w:after="6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val="false"/>
          <w:color w:val="000000"/>
          <w:sz w:val="20"/>
          <w:u w:val="single"/>
        </w:rPr>
        <w:t xml:space="preserve">(385) 351-1369 </w:t>
      </w:r>
    </w:p>
    <w:p>
      <w:pPr>
        <w:pStyle w:val="TextBody"/>
        <w:bidi w:val="0"/>
        <w:spacing w:lineRule="auto" w:line="345" w:before="6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Not Applicable</w:t>
      </w:r>
    </w:p>
    <w:p>
      <w:pPr>
        <w:pStyle w:val="TextBody"/>
        <w:bidi w:val="0"/>
        <w:spacing w:lineRule="auto" w:line="345" w:before="0" w:after="12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374" w:before="180" w:after="283"/>
        <w:jc w:val="both"/>
        <w:rPr/>
      </w:pPr>
      <w:r>
        <w:rPr>
          <w:color w:val="000000"/>
        </w:rPr>
        <w:t>    </w:t>
      </w: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 xml:space="preserve">see </w:t>
      </w:r>
      <w:r>
        <w:rPr>
          <w:rFonts w:ascii="Times New Roman;serif" w:hAnsi="Times New Roman;serif"/>
          <w:b w:val="false"/>
          <w:color w:val="000000"/>
          <w:sz w:val="20"/>
        </w:rPr>
        <w:t>General Instruction A.2. below):</w:t>
      </w:r>
    </w:p>
    <w:p>
      <w:pPr>
        <w:pStyle w:val="TextBody"/>
        <w:bidi w:val="0"/>
        <w:spacing w:lineRule="auto" w:line="374" w:before="120" w:after="283"/>
        <w:jc w:val="both"/>
        <w:rPr/>
      </w:pPr>
      <w:r>
        <w:rPr>
          <w:color w:val="000000"/>
        </w:rPr>
        <w:t>    ☐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374" w:before="120" w:after="283"/>
        <w:jc w:val="both"/>
        <w:rPr/>
      </w:pPr>
      <w:r>
        <w:rPr>
          <w:color w:val="000000"/>
        </w:rPr>
        <w:t>    ☐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374" w:before="120" w:after="283"/>
        <w:jc w:val="both"/>
        <w:rPr/>
      </w:pPr>
      <w:r>
        <w:rPr>
          <w:color w:val="000000"/>
        </w:rPr>
        <w:t>    ☐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374" w:before="120" w:after="283"/>
        <w:jc w:val="both"/>
        <w:rPr/>
      </w:pPr>
      <w:r>
        <w:rPr>
          <w:color w:val="000000"/>
        </w:rPr>
        <w:t>    ☐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602" w:type="dxa"/>
        <w:jc w:val="left"/>
        <w:tblInd w:w="0" w:type="dxa"/>
        <w:tblLayout w:type="fixed"/>
        <w:tblCellMar>
          <w:top w:w="28" w:type="dxa"/>
          <w:left w:w="28" w:type="dxa"/>
          <w:bottom w:w="28" w:type="dxa"/>
          <w:right w:w="28" w:type="dxa"/>
        </w:tblCellMar>
      </w:tblPr>
      <w:tblGrid>
        <w:gridCol w:w="999"/>
        <w:gridCol w:w="875"/>
        <w:gridCol w:w="885"/>
        <w:gridCol w:w="109"/>
        <w:gridCol w:w="109"/>
        <w:gridCol w:w="109"/>
        <w:gridCol w:w="494"/>
        <w:gridCol w:w="494"/>
        <w:gridCol w:w="496"/>
        <w:gridCol w:w="109"/>
        <w:gridCol w:w="109"/>
        <w:gridCol w:w="109"/>
        <w:gridCol w:w="1085"/>
        <w:gridCol w:w="1085"/>
        <w:gridCol w:w="1535"/>
      </w:tblGrid>
      <w:tr>
        <w:trPr/>
        <w:tc>
          <w:tcPr>
            <w:tcW w:w="99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$0.50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374" w:before="20" w:after="283"/>
        <w:jc w:val="left"/>
        <w:rPr>
          <w:color w:val="000000"/>
        </w:rPr>
      </w:pPr>
      <w:r>
        <w:rPr>
          <w:color w:val="000000"/>
        </w:rPr>
        <w:t>    </w:t>
      </w: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00" w:after="100"/>
        <w:jc w:val="left"/>
        <w:rPr/>
      </w:pPr>
      <w:r>
        <w:rPr>
          <w:color w:val="000000"/>
        </w:rPr>
        <w:t>    </w:t>
      </w: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00" w:after="1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jc w:val="left"/>
        <w:rPr/>
      </w:pPr>
      <w:r>
        <w:rPr>
          <w:rFonts w:ascii="Times New Roman;serif" w:hAnsi="Times New Roman;serif"/>
          <w:b/>
          <w:color w:val="000000"/>
          <w:sz w:val="22"/>
        </w:rPr>
        <w:t xml:space="preserve">ITEM 8.01. </w:t>
      </w:r>
      <w:r>
        <w:rPr>
          <w:color w:val="000000"/>
        </w:rPr>
        <w:t>    </w:t>
      </w:r>
      <w:r>
        <w:rPr>
          <w:rFonts w:ascii="Times New Roman;serif" w:hAnsi="Times New Roman;serif"/>
          <w:b/>
          <w:color w:val="000000"/>
          <w:sz w:val="22"/>
        </w:rPr>
        <w:t>OTHER EVENTS</w:t>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On August 5, 2026, the Board of Directors of the Company declared a quarterly cash dividend of $0.14 per share of common stock. The dividend will be payable on September 3, 2026 to shareholders of record as of August 18, 2026.</w:t>
      </w:r>
    </w:p>
    <w:p>
      <w:pPr>
        <w:pStyle w:val="TextBody"/>
        <w:bidi w:val="0"/>
        <w:spacing w:lineRule="auto" w:line="288" w:before="100" w:after="283"/>
        <w:jc w:val="left"/>
        <w:rPr>
          <w:rFonts w:ascii="Times New Roman;serif" w:hAnsi="Times New Roman;serif"/>
          <w:b w:val="false"/>
          <w:color w:val="000000"/>
          <w:sz w:val="22"/>
        </w:rPr>
      </w:pPr>
      <w:r>
        <w:rPr>
          <w:rFonts w:ascii="Times New Roman;serif" w:hAnsi="Times New Roman;serif"/>
          <w:b w:val="false"/>
          <w:color w:val="000000"/>
          <w:sz w:val="22"/>
        </w:rPr>
        <w:t>A copy of the press release announcing the dividend is attached hereto as Exhibit 99.1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2"/>
        </w:rPr>
        <w:t xml:space="preserve">ITEM 9.01. </w:t>
      </w:r>
      <w:r>
        <w:rPr>
          <w:color w:val="000000"/>
        </w:rPr>
        <w:t>    </w:t>
      </w:r>
      <w:r>
        <w:rPr>
          <w:rFonts w:ascii="Times New Roman;serif" w:hAnsi="Times New Roman;serif"/>
          <w:b/>
          <w:color w:val="000000"/>
          <w:sz w:val="22"/>
        </w:rPr>
        <w:t>FINANCIAL STATEMENTS AND EXHIBITS</w:t>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(d)    Exhibits:</w:t>
      </w:r>
    </w:p>
    <w:tbl>
      <w:tblPr>
        <w:tblW w:w="10205" w:type="dxa"/>
        <w:jc w:val="center"/>
        <w:tblInd w:w="0" w:type="dxa"/>
        <w:tblLayout w:type="fixed"/>
        <w:tblCellMar>
          <w:top w:w="28" w:type="dxa"/>
          <w:left w:w="28" w:type="dxa"/>
          <w:bottom w:w="28" w:type="dxa"/>
          <w:right w:w="28" w:type="dxa"/>
        </w:tblCellMar>
      </w:tblPr>
      <w:tblGrid>
        <w:gridCol w:w="422"/>
        <w:gridCol w:w="371"/>
        <w:gridCol w:w="372"/>
        <w:gridCol w:w="2641"/>
        <w:gridCol w:w="2641"/>
        <w:gridCol w:w="3758"/>
      </w:tblGrid>
      <w:tr>
        <w:trPr/>
        <w:tc>
          <w:tcPr>
            <w:tcW w:w="42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3758" w:type="dxa"/>
            <w:tcBorders/>
            <w:vAlign w:val="center"/>
          </w:tcPr>
          <w:p>
            <w:pPr>
              <w:pStyle w:val="TableContents"/>
              <w:bidi w:val="0"/>
              <w:spacing w:before="0" w:after="283"/>
              <w:jc w:val="left"/>
              <w:rPr>
                <w:sz w:val="4"/>
                <w:szCs w:val="4"/>
              </w:rPr>
            </w:pPr>
            <w:r>
              <w:rPr>
                <w:sz w:val="4"/>
                <w:szCs w:val="4"/>
              </w:rPr>
            </w:r>
          </w:p>
        </w:tc>
      </w:tr>
      <w:tr>
        <w:trPr/>
        <w:tc>
          <w:tcPr>
            <w:tcW w:w="11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u w:val="single"/>
              </w:rPr>
            </w:pPr>
            <w:r>
              <w:rPr>
                <w:rFonts w:ascii="Times New Roman;serif" w:hAnsi="Times New Roman;serif"/>
                <w:b/>
                <w:color w:val="000000"/>
                <w:sz w:val="22"/>
                <w:u w:val="single"/>
              </w:rPr>
              <w:t>Exhibit No.</w:t>
            </w:r>
          </w:p>
        </w:tc>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u w:val="single"/>
              </w:rPr>
            </w:pPr>
            <w:r>
              <w:rPr>
                <w:rFonts w:ascii="Times New Roman;serif" w:hAnsi="Times New Roman;serif"/>
                <w:b/>
                <w:color w:val="000000"/>
                <w:sz w:val="22"/>
                <w:u w:val="single"/>
              </w:rPr>
              <w:t>Description</w:t>
            </w:r>
          </w:p>
        </w:tc>
      </w:tr>
      <w:tr>
        <w:trPr/>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991-dividendpressre.htm">
              <w:r>
                <w:rPr>
                  <w:rStyle w:val="InternetLink"/>
                  <w:rFonts w:ascii="Times New Roman;serif" w:hAnsi="Times New Roman;serif"/>
                  <w:b w:val="false"/>
                  <w:color w:val="0000FF"/>
                  <w:sz w:val="22"/>
                  <w:u w:val="single"/>
                </w:rPr>
                <w:t>99.1</w:t>
              </w:r>
            </w:hyperlink>
          </w:p>
        </w:tc>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dividendpressre.htm">
              <w:r>
                <w:rPr>
                  <w:rStyle w:val="InternetLink"/>
                  <w:rFonts w:ascii="Times New Roman;serif" w:hAnsi="Times New Roman;serif"/>
                  <w:b w:val="false"/>
                  <w:color w:val="0000FF"/>
                  <w:sz w:val="22"/>
                  <w:u w:val="single"/>
                </w:rPr>
                <w:t>Press Release, dated August 5, 2026</w:t>
              </w:r>
            </w:hyperlink>
          </w:p>
        </w:tc>
      </w:tr>
      <w:tr>
        <w:trPr/>
        <w:tc>
          <w:tcPr>
            <w:tcW w:w="11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104</w:t>
            </w:r>
          </w:p>
        </w:tc>
        <w:tc>
          <w:tcPr>
            <w:tcW w:w="9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0" w:after="0"/>
        <w:jc w:val="both"/>
        <w:rPr/>
      </w:pPr>
      <w:r>
        <w:rPr/>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tbl>
      <w:tblPr>
        <w:tblW w:w="6163" w:type="dxa"/>
        <w:jc w:val="left"/>
        <w:tblInd w:w="0" w:type="dxa"/>
        <w:tblLayout w:type="fixed"/>
        <w:tblCellMar>
          <w:top w:w="28" w:type="dxa"/>
          <w:left w:w="28" w:type="dxa"/>
          <w:bottom w:w="28" w:type="dxa"/>
          <w:right w:w="28" w:type="dxa"/>
        </w:tblCellMar>
      </w:tblPr>
      <w:tblGrid>
        <w:gridCol w:w="222"/>
        <w:gridCol w:w="196"/>
        <w:gridCol w:w="197"/>
        <w:gridCol w:w="519"/>
        <w:gridCol w:w="519"/>
        <w:gridCol w:w="521"/>
        <w:gridCol w:w="144"/>
        <w:gridCol w:w="144"/>
        <w:gridCol w:w="146"/>
        <w:gridCol w:w="1041"/>
        <w:gridCol w:w="1041"/>
        <w:gridCol w:w="1473"/>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PROG Holdings, Inc.</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555" w:type="dxa"/>
            <w:gridSpan w:val="3"/>
            <w:tcBorders/>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2"/>
              </w:rPr>
            </w:pPr>
            <w:r>
              <w:rPr>
                <w:rFonts w:ascii="Times New Roman;serif" w:hAnsi="Times New Roman;serif"/>
                <w:b w:val="false"/>
                <w:color w:val="000000"/>
                <w:sz w:val="22"/>
              </w:rPr>
              <w:t>/s/ Todd King</w:t>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Date:</w:t>
            </w:r>
          </w:p>
        </w:tc>
        <w:tc>
          <w:tcPr>
            <w:tcW w:w="1559"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2"/>
              </w:rPr>
            </w:pPr>
            <w:r>
              <w:rPr>
                <w:rFonts w:ascii="Times New Roman;serif" w:hAnsi="Times New Roman;serif"/>
                <w:b w:val="false"/>
                <w:color w:val="000000"/>
                <w:sz w:val="22"/>
              </w:rPr>
              <w:t>August 5, 2026</w:t>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Todd King</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Chief Legal and Compliance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Lato;sans-serif" w:hAnsi="Lato;sans-serif"/>
          <w:b/>
          <w:color w:val="000000"/>
          <w:sz w:val="24"/>
        </w:rPr>
      </w:pPr>
      <w:r>
        <w:rPr>
          <w:rFonts w:ascii="Lato;sans-serif" w:hAnsi="Lato;sans-serif"/>
          <w:b/>
          <w:color w:val="000000"/>
          <w:sz w:val="24"/>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Lato;sans-serif" w:hAnsi="Lato;sans-serif"/>
          <w:b/>
          <w:color w:val="000000"/>
          <w:sz w:val="40"/>
        </w:rPr>
      </w:pPr>
      <w:r>
        <w:rPr>
          <w:rFonts w:ascii="Lato;sans-serif" w:hAnsi="Lato;sans-serif"/>
          <w:b/>
          <w:color w:val="000000"/>
          <w:sz w:val="40"/>
        </w:rPr>
        <w:t>PROG Holdings, Inc. Declares Dividend</w:t>
      </w:r>
    </w:p>
    <w:p>
      <w:pPr>
        <w:pStyle w:val="TextBody"/>
        <w:bidi w:val="0"/>
        <w:spacing w:before="0" w:after="0"/>
        <w:jc w:val="left"/>
        <w:rPr/>
      </w:pPr>
      <w:r>
        <w:rPr/>
      </w:r>
    </w:p>
    <w:p>
      <w:pPr>
        <w:pStyle w:val="TextBody"/>
        <w:bidi w:val="0"/>
        <w:spacing w:lineRule="auto" w:line="276" w:before="0" w:after="0"/>
        <w:jc w:val="left"/>
        <w:rPr>
          <w:rFonts w:ascii="Lato;sans-serif" w:hAnsi="Lato;sans-serif"/>
          <w:b w:val="false"/>
          <w:color w:val="000000"/>
          <w:sz w:val="24"/>
        </w:rPr>
      </w:pPr>
      <w:r>
        <w:rPr>
          <w:rFonts w:ascii="Lato;sans-serif" w:hAnsi="Lato;sans-serif"/>
          <w:b w:val="false"/>
          <w:color w:val="000000"/>
          <w:sz w:val="24"/>
        </w:rPr>
        <w:t>August 5, 2026</w:t>
      </w:r>
    </w:p>
    <w:p>
      <w:pPr>
        <w:pStyle w:val="TextBody"/>
        <w:bidi w:val="0"/>
        <w:spacing w:before="0" w:after="0"/>
        <w:jc w:val="left"/>
        <w:rPr/>
      </w:pPr>
      <w:r>
        <w:rPr/>
      </w:r>
    </w:p>
    <w:p>
      <w:pPr>
        <w:pStyle w:val="TextBody"/>
        <w:bidi w:val="0"/>
        <w:spacing w:lineRule="auto" w:line="268" w:before="0" w:after="0"/>
        <w:jc w:val="left"/>
        <w:rPr>
          <w:rFonts w:ascii="Lato;sans-serif" w:hAnsi="Lato;sans-serif"/>
          <w:b w:val="false"/>
          <w:color w:val="000000"/>
          <w:sz w:val="24"/>
        </w:rPr>
      </w:pPr>
      <w:r>
        <w:rPr>
          <w:rFonts w:ascii="Lato;sans-serif" w:hAnsi="Lato;sans-serif"/>
          <w:b w:val="false"/>
          <w:color w:val="000000"/>
          <w:sz w:val="24"/>
        </w:rPr>
        <w:t>SALT LAKE CITY--(BUSINESS WIRE)—August 5, 2026-- PROG Holdings, Inc. (NYSE:PRG), the fintech holding company for Progressive Leasing, Four Technologies, MoneyApp and Purchasing Power, announced today that its Board of Directors declared a quarterly cash dividend of $0.14 per share of common stock, payable on September 3, 2026, to shareholders of record as of the close of business on August 18, 2026.</w:t>
      </w:r>
    </w:p>
    <w:p>
      <w:pPr>
        <w:pStyle w:val="TextBody"/>
        <w:bidi w:val="0"/>
        <w:spacing w:before="0" w:after="0"/>
        <w:jc w:val="left"/>
        <w:rPr/>
      </w:pPr>
      <w:r>
        <w:rPr/>
      </w:r>
    </w:p>
    <w:p>
      <w:pPr>
        <w:pStyle w:val="TextBody"/>
        <w:bidi w:val="0"/>
        <w:spacing w:lineRule="auto" w:line="268" w:before="0" w:after="0"/>
        <w:jc w:val="left"/>
        <w:rPr>
          <w:rFonts w:ascii="Lato;sans-serif" w:hAnsi="Lato;sans-serif"/>
          <w:b/>
          <w:i/>
          <w:color w:val="000000"/>
          <w:sz w:val="22"/>
        </w:rPr>
      </w:pPr>
      <w:r>
        <w:rPr>
          <w:rFonts w:ascii="Lato;sans-serif" w:hAnsi="Lato;sans-serif"/>
          <w:b/>
          <w:i/>
          <w:color w:val="000000"/>
          <w:sz w:val="22"/>
        </w:rPr>
        <w:t>About PROG Holdings, Inc.</w:t>
      </w:r>
    </w:p>
    <w:p>
      <w:pPr>
        <w:pStyle w:val="TextBody"/>
        <w:bidi w:val="0"/>
        <w:spacing w:lineRule="auto" w:line="268" w:before="100" w:after="283"/>
        <w:jc w:val="left"/>
        <w:rPr>
          <w:rFonts w:ascii="Lato;sans-serif" w:hAnsi="Lato;sans-serif"/>
          <w:b w:val="false"/>
          <w:i/>
          <w:color w:val="000000"/>
          <w:sz w:val="22"/>
        </w:rPr>
      </w:pPr>
      <w:r>
        <w:rPr>
          <w:rFonts w:ascii="Lato;sans-serif" w:hAnsi="Lato;sans-serif"/>
          <w:b w:val="false"/>
          <w:i/>
          <w:color w:val="000000"/>
          <w:sz w:val="22"/>
        </w:rPr>
        <w:t>PROG Holdings, Inc. (NYSE:PRG) is a fintech holding company headquartered in Salt Lake City, UT, that provides inclusive, transparent and competitive payment options to consumers. The Company owns Progressive Leasing, a leading provider of e-commerce, app-based, and in-store point-of-sale lease-to-own solutions; Four Technologies, a provider of Buy Now, Pay Later payment options through its platform Four; MoneyApp, a mobile application that offers customers short-term liquidity solutions through cash advances; and Purchasing Power, a voluntary employee benefit provider, allowing employees to purchase brand-name products through either automatic payroll deductions or allotments. More information on PROG Holdings' companies can be found at https://www.progholdings.com.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Lato;sans-serif" w:hAnsi="Lato;sans-serif"/>
          <w:b/>
          <w:color w:val="000000"/>
          <w:sz w:val="22"/>
        </w:rPr>
      </w:pPr>
      <w:r>
        <w:rPr>
          <w:rFonts w:ascii="Lato;sans-serif" w:hAnsi="Lato;sans-serif"/>
          <w:b/>
          <w:color w:val="000000"/>
          <w:sz w:val="22"/>
        </w:rPr>
        <w:t>Investor Contact</w:t>
      </w:r>
    </w:p>
    <w:p>
      <w:pPr>
        <w:pStyle w:val="TextBody"/>
        <w:bidi w:val="0"/>
        <w:spacing w:lineRule="auto" w:line="268" w:before="0" w:after="0"/>
        <w:jc w:val="left"/>
        <w:rPr>
          <w:rFonts w:ascii="Lato;sans-serif" w:hAnsi="Lato;sans-serif"/>
          <w:b w:val="false"/>
          <w:color w:val="000000"/>
          <w:sz w:val="22"/>
        </w:rPr>
      </w:pPr>
      <w:r>
        <w:rPr>
          <w:rFonts w:ascii="Lato;sans-serif" w:hAnsi="Lato;sans-serif"/>
          <w:b w:val="false"/>
          <w:color w:val="000000"/>
          <w:sz w:val="22"/>
        </w:rPr>
        <w:t>John A. Baugh, CFA</w:t>
      </w:r>
    </w:p>
    <w:p>
      <w:pPr>
        <w:pStyle w:val="TextBody"/>
        <w:bidi w:val="0"/>
        <w:spacing w:lineRule="auto" w:line="268" w:before="0" w:after="0"/>
        <w:jc w:val="left"/>
        <w:rPr>
          <w:rFonts w:ascii="Lato;sans-serif" w:hAnsi="Lato;sans-serif"/>
          <w:b w:val="false"/>
          <w:color w:val="000000"/>
          <w:sz w:val="22"/>
        </w:rPr>
      </w:pPr>
      <w:r>
        <w:rPr>
          <w:rFonts w:ascii="Lato;sans-serif" w:hAnsi="Lato;sans-serif"/>
          <w:b w:val="false"/>
          <w:color w:val="000000"/>
          <w:sz w:val="22"/>
        </w:rPr>
        <w:t>VP, Investor Relations</w:t>
      </w:r>
    </w:p>
    <w:p>
      <w:pPr>
        <w:pStyle w:val="TextBody"/>
        <w:bidi w:val="0"/>
        <w:spacing w:lineRule="auto" w:line="268" w:before="0" w:after="0"/>
        <w:jc w:val="left"/>
        <w:rPr>
          <w:rFonts w:ascii="Lato;sans-serif" w:hAnsi="Lato;sans-serif"/>
          <w:b w:val="false"/>
          <w:color w:val="0563C1"/>
          <w:sz w:val="22"/>
        </w:rPr>
      </w:pPr>
      <w:r>
        <w:rPr>
          <w:rFonts w:ascii="Lato;sans-serif" w:hAnsi="Lato;sans-serif"/>
          <w:b w:val="false"/>
          <w:color w:val="0563C1"/>
          <w:sz w:val="22"/>
        </w:rPr>
        <w:t>john.baugh@progleasing.com</w:t>
      </w:r>
    </w:p>
    <w:p>
      <w:pPr>
        <w:pStyle w:val="TextBody"/>
        <w:bidi w:val="0"/>
        <w:spacing w:lineRule="auto" w:line="268" w:before="0" w:after="0"/>
        <w:jc w:val="left"/>
        <w:rPr>
          <w:rFonts w:ascii="Lato;sans-serif" w:hAnsi="Lato;sans-serif"/>
          <w:b w:val="false"/>
          <w:color w:val="000000"/>
          <w:sz w:val="22"/>
        </w:rPr>
      </w:pPr>
      <w:r>
        <w:rPr>
          <w:rFonts w:ascii="Lato;sans-serif" w:hAnsi="Lato;sans-serif"/>
          <w:b w:val="false"/>
          <w:color w:val="000000"/>
          <w:sz w:val="22"/>
        </w:rPr>
        <w:t>Source: PROG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Lat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649</Words>
  <Characters>3700</Characters>
  <CharactersWithSpaces>4330</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