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________________________________</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95"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________________________________</w:t>
      </w:r>
    </w:p>
    <w:p>
      <w:pPr>
        <w:spacing w:after="0" w:line="175" w:lineRule="exact"/>
        <w:rPr>
          <w:sz w:val="24"/>
          <w:szCs w:val="24"/>
          <w:color w:val="auto"/>
        </w:rPr>
      </w:pPr>
    </w:p>
    <w:p>
      <w:pPr>
        <w:ind w:left="6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3959860</wp:posOffset>
            </wp:positionH>
            <wp:positionV relativeFrom="paragraph">
              <wp:posOffset>-7620</wp:posOffset>
            </wp:positionV>
            <wp:extent cx="1360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1-39628</w:t>
      </w:r>
    </w:p>
    <w:p>
      <w:pPr>
        <w:spacing w:after="0" w:line="68"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________________________________</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_________________________________</w:t>
      </w:r>
    </w:p>
    <w:p>
      <w:pPr>
        <w:spacing w:after="0" w:line="122" w:lineRule="exact"/>
        <w:rPr>
          <w:sz w:val="24"/>
          <w:szCs w:val="24"/>
          <w:color w:val="auto"/>
        </w:rPr>
      </w:pPr>
    </w:p>
    <w:p>
      <w:pPr>
        <w:ind w:left="2900"/>
        <w:spacing w:after="0"/>
        <w:tabs>
          <w:tab w:leader="none" w:pos="8100" w:val="left"/>
        </w:tabs>
        <w:rPr>
          <w:sz w:val="20"/>
          <w:szCs w:val="20"/>
          <w:color w:val="auto"/>
        </w:rPr>
      </w:pPr>
      <w:r>
        <w:rPr>
          <w:rFonts w:ascii="Arial" w:cs="Arial" w:eastAsia="Arial" w:hAnsi="Arial"/>
          <w:sz w:val="18"/>
          <w:szCs w:val="18"/>
          <w:b w:val="1"/>
          <w:bCs w:val="1"/>
          <w:color w:val="auto"/>
        </w:rPr>
        <w:t>Georgia</w:t>
      </w:r>
      <w:r>
        <w:rPr>
          <w:sz w:val="20"/>
          <w:szCs w:val="20"/>
          <w:color w:val="auto"/>
        </w:rPr>
        <w:tab/>
      </w:r>
      <w:r>
        <w:rPr>
          <w:rFonts w:ascii="Arial" w:cs="Arial" w:eastAsia="Arial" w:hAnsi="Arial"/>
          <w:sz w:val="18"/>
          <w:szCs w:val="18"/>
          <w:b w:val="1"/>
          <w:bCs w:val="1"/>
          <w:color w:val="auto"/>
        </w:rPr>
        <w:t>85-2484385</w:t>
      </w:r>
    </w:p>
    <w:p>
      <w:pPr>
        <w:spacing w:after="0" w:line="32" w:lineRule="exact"/>
        <w:rPr>
          <w:sz w:val="24"/>
          <w:szCs w:val="24"/>
          <w:color w:val="auto"/>
        </w:rPr>
      </w:pPr>
    </w:p>
    <w:p>
      <w:pPr>
        <w:ind w:left="2320"/>
        <w:spacing w:after="0"/>
        <w:tabs>
          <w:tab w:leader="none" w:pos="79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 R. S. Employer</w:t>
      </w:r>
    </w:p>
    <w:p>
      <w:pPr>
        <w:spacing w:after="0" w:line="4" w:lineRule="exact"/>
        <w:rPr>
          <w:sz w:val="24"/>
          <w:szCs w:val="24"/>
          <w:color w:val="auto"/>
        </w:rPr>
      </w:pPr>
    </w:p>
    <w:p>
      <w:pPr>
        <w:ind w:left="22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84" w:lineRule="exact"/>
        <w:rPr>
          <w:sz w:val="24"/>
          <w:szCs w:val="24"/>
          <w:color w:val="auto"/>
        </w:rPr>
      </w:pPr>
    </w:p>
    <w:p>
      <w:pPr>
        <w:ind w:left="2760"/>
        <w:spacing w:after="0"/>
        <w:tabs>
          <w:tab w:leader="none" w:pos="4360" w:val="left"/>
          <w:tab w:leader="none" w:pos="5420" w:val="left"/>
          <w:tab w:leader="none" w:pos="8100" w:val="left"/>
        </w:tabs>
        <w:rPr>
          <w:sz w:val="20"/>
          <w:szCs w:val="20"/>
          <w:color w:val="auto"/>
        </w:rPr>
      </w:pPr>
      <w:r>
        <w:rPr>
          <w:rFonts w:ascii="Arial" w:cs="Arial" w:eastAsia="Arial" w:hAnsi="Arial"/>
          <w:sz w:val="18"/>
          <w:szCs w:val="18"/>
          <w:b w:val="1"/>
          <w:bCs w:val="1"/>
          <w:color w:val="auto"/>
        </w:rPr>
        <w:t>256 W. Data Drive</w:t>
        <w:tab/>
        <w:t>Draper,</w:t>
      </w:r>
      <w:r>
        <w:rPr>
          <w:sz w:val="20"/>
          <w:szCs w:val="20"/>
          <w:color w:val="auto"/>
        </w:rPr>
        <w:tab/>
      </w:r>
      <w:r>
        <w:rPr>
          <w:rFonts w:ascii="Arial" w:cs="Arial" w:eastAsia="Arial" w:hAnsi="Arial"/>
          <w:sz w:val="18"/>
          <w:szCs w:val="18"/>
          <w:b w:val="1"/>
          <w:bCs w:val="1"/>
          <w:color w:val="auto"/>
        </w:rPr>
        <w:t>Utah</w:t>
      </w:r>
      <w:r>
        <w:rPr>
          <w:sz w:val="20"/>
          <w:szCs w:val="20"/>
          <w:color w:val="auto"/>
        </w:rPr>
        <w:tab/>
      </w:r>
      <w:r>
        <w:rPr>
          <w:rFonts w:ascii="Arial" w:cs="Arial" w:eastAsia="Arial" w:hAnsi="Arial"/>
          <w:sz w:val="16"/>
          <w:szCs w:val="16"/>
          <w:b w:val="1"/>
          <w:bCs w:val="1"/>
          <w:color w:val="auto"/>
        </w:rPr>
        <w:t>84020-2315</w:t>
      </w:r>
    </w:p>
    <w:p>
      <w:pPr>
        <w:spacing w:after="0" w:line="27" w:lineRule="exact"/>
        <w:rPr>
          <w:sz w:val="24"/>
          <w:szCs w:val="24"/>
          <w:color w:val="auto"/>
        </w:rPr>
      </w:pPr>
    </w:p>
    <w:p>
      <w:pPr>
        <w:ind w:left="2020"/>
        <w:spacing w:after="0"/>
        <w:tabs>
          <w:tab w:leader="none" w:pos="820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(385) 351-1369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700"/>
        <w:spacing w:after="0"/>
        <w:tabs>
          <w:tab w:leader="none" w:pos="504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000"/>
        <w:spacing w:after="0"/>
        <w:tabs>
          <w:tab w:leader="none" w:pos="5340" w:val="left"/>
          <w:tab w:leader="none" w:pos="7900" w:val="left"/>
        </w:tabs>
        <w:rPr>
          <w:sz w:val="20"/>
          <w:szCs w:val="20"/>
          <w:color w:val="auto"/>
        </w:rPr>
      </w:pPr>
      <w:r>
        <w:rPr>
          <w:rFonts w:ascii="Arial" w:cs="Arial" w:eastAsia="Arial" w:hAnsi="Arial"/>
          <w:sz w:val="18"/>
          <w:szCs w:val="18"/>
          <w:b w:val="1"/>
          <w:bCs w:val="1"/>
          <w:color w:val="auto"/>
        </w:rPr>
        <w:t>Common Stock, $0.50 Par Value</w:t>
      </w:r>
      <w:r>
        <w:rPr>
          <w:sz w:val="20"/>
          <w:szCs w:val="20"/>
          <w:color w:val="auto"/>
        </w:rPr>
        <w:tab/>
      </w:r>
      <w:r>
        <w:rPr>
          <w:rFonts w:ascii="Arial" w:cs="Arial" w:eastAsia="Arial" w:hAnsi="Arial"/>
          <w:sz w:val="18"/>
          <w:szCs w:val="18"/>
          <w:b w:val="1"/>
          <w:bCs w:val="1"/>
          <w:color w:val="auto"/>
        </w:rPr>
        <w:t>PRG</w:t>
      </w:r>
      <w:r>
        <w:rPr>
          <w:sz w:val="20"/>
          <w:szCs w:val="20"/>
          <w:color w:val="auto"/>
        </w:rPr>
        <w:tab/>
      </w:r>
      <w:r>
        <w:rPr>
          <w:rFonts w:ascii="Arial" w:cs="Arial" w:eastAsia="Arial" w:hAnsi="Arial"/>
          <w:sz w:val="16"/>
          <w:szCs w:val="16"/>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246" w:lineRule="exact"/>
        <w:rPr>
          <w:sz w:val="24"/>
          <w:szCs w:val="24"/>
          <w:color w:val="auto"/>
        </w:rPr>
      </w:pPr>
    </w:p>
    <w:p>
      <w:pPr>
        <w:jc w:val="both"/>
        <w:ind w:right="380" w:firstLine="180"/>
        <w:spacing w:after="0" w:line="221" w:lineRule="exact"/>
        <w:rPr>
          <w:sz w:val="20"/>
          <w:szCs w:val="20"/>
          <w:color w:val="auto"/>
        </w:rPr>
      </w:pPr>
      <w:r>
        <w:rPr>
          <w:rFonts w:ascii="Arial" w:cs="Arial" w:eastAsia="Arial" w:hAnsi="Arial"/>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60" w:firstLine="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40" w:type="dxa"/>
            <w:vAlign w:val="bottom"/>
            <w:gridSpan w:val="3"/>
          </w:tcPr>
          <w:p>
            <w:pPr>
              <w:spacing w:after="0"/>
              <w:rPr>
                <w:sz w:val="20"/>
                <w:szCs w:val="20"/>
                <w:color w:val="auto"/>
              </w:rPr>
            </w:pPr>
            <w:r>
              <w:rPr>
                <w:rFonts w:ascii="Arial" w:cs="Arial" w:eastAsia="Arial" w:hAnsi="Arial"/>
                <w:sz w:val="18"/>
                <w:szCs w:val="18"/>
                <w:color w:val="auto"/>
                <w:w w:val="96"/>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44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44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140" w:type="dxa"/>
            <w:vAlign w:val="bottom"/>
          </w:tcPr>
          <w:p>
            <w:pPr>
              <w:ind w:left="20"/>
              <w:spacing w:after="0"/>
              <w:rPr>
                <w:sz w:val="20"/>
                <w:szCs w:val="20"/>
                <w:color w:val="auto"/>
              </w:rPr>
            </w:pPr>
            <w:r>
              <w:rPr>
                <w:rFonts w:ascii="Arial" w:cs="Arial" w:eastAsia="Arial" w:hAnsi="Arial"/>
                <w:sz w:val="18"/>
                <w:szCs w:val="18"/>
                <w:color w:val="auto"/>
                <w:w w:val="94"/>
              </w:rPr>
              <w:t>Emerging Growth Company</w:t>
            </w:r>
          </w:p>
        </w:tc>
        <w:tc>
          <w:tcPr>
            <w:tcW w:w="514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4"/>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840" w:type="dxa"/>
            <w:vAlign w:val="bottom"/>
            <w:gridSpan w:val="3"/>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40" w:type="dxa"/>
            <w:vAlign w:val="bottom"/>
          </w:tcPr>
          <w:p>
            <w:pPr>
              <w:spacing w:after="0"/>
              <w:rPr>
                <w:sz w:val="21"/>
                <w:szCs w:val="21"/>
                <w:color w:val="auto"/>
              </w:rPr>
            </w:pPr>
          </w:p>
        </w:tc>
        <w:tc>
          <w:tcPr>
            <w:tcW w:w="5140" w:type="dxa"/>
            <w:vAlign w:val="bottom"/>
            <w:vMerge w:val="restart"/>
          </w:tcPr>
          <w:p>
            <w:pPr>
              <w:jc w:val="right"/>
              <w:ind w:right="3835"/>
              <w:spacing w:after="0"/>
              <w:rPr>
                <w:sz w:val="20"/>
                <w:szCs w:val="20"/>
                <w:color w:val="auto"/>
              </w:rPr>
            </w:pPr>
            <w:r>
              <w:rPr>
                <w:rFonts w:ascii="Arial" w:cs="Arial" w:eastAsia="Arial" w:hAnsi="Arial"/>
                <w:sz w:val="14"/>
                <w:szCs w:val="14"/>
                <w:b w:val="1"/>
                <w:bCs w:val="1"/>
                <w:color w:val="auto"/>
                <w:w w:val="96"/>
              </w:rPr>
              <w:t>Title of Each Class</w:t>
            </w:r>
          </w:p>
        </w:tc>
        <w:tc>
          <w:tcPr>
            <w:tcW w:w="35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0"/>
              </w:rPr>
              <w:t>Shares Outstanding as of</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560" w:type="dxa"/>
            <w:vAlign w:val="bottom"/>
          </w:tcPr>
          <w:p>
            <w:pPr>
              <w:jc w:val="center"/>
              <w:ind w:right="1157"/>
              <w:spacing w:after="0"/>
              <w:rPr>
                <w:sz w:val="20"/>
                <w:szCs w:val="20"/>
                <w:color w:val="auto"/>
              </w:rPr>
            </w:pPr>
            <w:r>
              <w:rPr>
                <w:rFonts w:ascii="Arial" w:cs="Arial" w:eastAsia="Arial" w:hAnsi="Arial"/>
                <w:sz w:val="14"/>
                <w:szCs w:val="14"/>
                <w:b w:val="1"/>
                <w:bCs w:val="1"/>
                <w:color w:val="auto"/>
                <w:w w:val="92"/>
              </w:rPr>
              <w:t>July 21, 2023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280" w:type="dxa"/>
            <w:vAlign w:val="bottom"/>
            <w:gridSpan w:val="2"/>
          </w:tcPr>
          <w:p>
            <w:pPr>
              <w:ind w:left="1600"/>
              <w:spacing w:after="0"/>
              <w:rPr>
                <w:sz w:val="20"/>
                <w:szCs w:val="20"/>
                <w:color w:val="auto"/>
              </w:rPr>
            </w:pPr>
            <w:r>
              <w:rPr>
                <w:rFonts w:ascii="Arial" w:cs="Arial" w:eastAsia="Arial" w:hAnsi="Arial"/>
                <w:sz w:val="18"/>
                <w:szCs w:val="18"/>
                <w:color w:val="auto"/>
              </w:rPr>
              <w:t>Common Stock, $0.50 Par Value</w:t>
            </w:r>
          </w:p>
        </w:tc>
        <w:tc>
          <w:tcPr>
            <w:tcW w:w="3560" w:type="dxa"/>
            <w:vAlign w:val="bottom"/>
          </w:tcPr>
          <w:p>
            <w:pPr>
              <w:jc w:val="center"/>
              <w:ind w:right="1137"/>
              <w:spacing w:after="0"/>
              <w:rPr>
                <w:sz w:val="20"/>
                <w:szCs w:val="20"/>
                <w:color w:val="auto"/>
              </w:rPr>
            </w:pPr>
            <w:r>
              <w:rPr>
                <w:rFonts w:ascii="Arial" w:cs="Arial" w:eastAsia="Arial" w:hAnsi="Arial"/>
                <w:sz w:val="18"/>
                <w:szCs w:val="18"/>
                <w:color w:val="auto"/>
                <w:w w:val="90"/>
              </w:rPr>
              <w:t>45,710,332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41" w:right="379" w:bottom="595" w:gutter="0" w:footer="0" w:header="0"/>
        </w:sectPr>
      </w:pPr>
    </w:p>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59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FINANCIAL INFORMATION</w:t>
            </w:r>
          </w:p>
        </w:tc>
        <w:tc>
          <w:tcPr>
            <w:tcW w:w="79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11020" w:type="dxa"/>
            <w:vAlign w:val="bottom"/>
            <w:gridSpan w:val="19"/>
          </w:tcPr>
          <w:p>
            <w:pPr>
              <w:spacing w:after="0"/>
              <w:rPr>
                <w:sz w:val="20"/>
                <w:szCs w:val="20"/>
                <w:color w:val="auto"/>
              </w:rPr>
            </w:pPr>
            <w:r>
              <w:rPr>
                <w:rFonts w:ascii="Arial" w:cs="Arial" w:eastAsia="Arial" w:hAnsi="Arial"/>
                <w:sz w:val="18"/>
                <w:szCs w:val="18"/>
                <w:color w:val="0000FF"/>
              </w:rPr>
              <w:t>Item 1. Financial Statements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8"/>
          </w:tcPr>
          <w:p>
            <w:pPr>
              <w:ind w:left="20"/>
              <w:spacing w:after="0"/>
              <w:rPr>
                <w:sz w:val="20"/>
                <w:szCs w:val="20"/>
                <w:color w:val="auto"/>
              </w:rPr>
            </w:pPr>
            <w:r>
              <w:rPr>
                <w:rFonts w:ascii="Arial" w:cs="Arial" w:eastAsia="Arial" w:hAnsi="Arial"/>
                <w:sz w:val="18"/>
                <w:szCs w:val="18"/>
                <w:color w:val="0000FF"/>
              </w:rPr>
              <w:t>Condensed Consolidated Balance Sheets – June 30, 2023 (Unaudited) and December 31,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80" w:type="dxa"/>
            <w:vAlign w:val="bottom"/>
            <w:gridSpan w:val="17"/>
          </w:tcPr>
          <w:p>
            <w:pPr>
              <w:ind w:left="20"/>
              <w:spacing w:after="0"/>
              <w:rPr>
                <w:sz w:val="20"/>
                <w:szCs w:val="20"/>
                <w:color w:val="auto"/>
              </w:rPr>
            </w:pPr>
            <w:r>
              <w:rPr>
                <w:rFonts w:ascii="Arial" w:cs="Arial" w:eastAsia="Arial" w:hAnsi="Arial"/>
                <w:sz w:val="18"/>
                <w:szCs w:val="18"/>
                <w:color w:val="0000FF"/>
                <w:w w:val="89"/>
              </w:rPr>
              <w:t>Condensed Consolidated Statements of Earnings (Unaudited) – Three and Six Months Ended June 30, 2023 and 2022</w:t>
            </w:r>
          </w:p>
        </w:tc>
        <w:tc>
          <w:tcPr>
            <w:tcW w:w="2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gridSpan w:val="16"/>
          </w:tcPr>
          <w:p>
            <w:pPr>
              <w:ind w:left="20"/>
              <w:spacing w:after="0"/>
              <w:rPr>
                <w:sz w:val="20"/>
                <w:szCs w:val="20"/>
                <w:color w:val="auto"/>
              </w:rPr>
            </w:pPr>
            <w:r>
              <w:rPr>
                <w:rFonts w:ascii="Arial" w:cs="Arial" w:eastAsia="Arial" w:hAnsi="Arial"/>
                <w:sz w:val="18"/>
                <w:szCs w:val="18"/>
                <w:color w:val="0000FF"/>
                <w:w w:val="89"/>
              </w:rPr>
              <w:t>Condensed Consolidated Statements of Cash Flows (Unaudited) – Six Months Ended June 30, 2023 and 2022</w:t>
            </w: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3"/>
          </w:tcPr>
          <w:p>
            <w:pPr>
              <w:ind w:left="20"/>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000" w:type="dxa"/>
            <w:vAlign w:val="bottom"/>
            <w:gridSpan w:val="3"/>
          </w:tcPr>
          <w:p>
            <w:pPr>
              <w:spacing w:after="0"/>
              <w:rPr>
                <w:sz w:val="22"/>
                <w:szCs w:val="22"/>
                <w:color w:val="auto"/>
              </w:rPr>
            </w:pPr>
          </w:p>
        </w:tc>
        <w:tc>
          <w:tcPr>
            <w:tcW w:w="278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2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22</w:t>
            </w: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70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4020" w:type="dxa"/>
            <w:vAlign w:val="bottom"/>
            <w:gridSpan w:val="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9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Item 4. Controls and Procedures</w:t>
            </w:r>
          </w:p>
        </w:tc>
        <w:tc>
          <w:tcPr>
            <w:tcW w:w="6120" w:type="dxa"/>
            <w:vAlign w:val="bottom"/>
            <w:gridSpan w:val="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2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9"/>
              </w:rPr>
              <w:t>Item 1. Legal Proceedings</w:t>
            </w:r>
          </w:p>
        </w:tc>
        <w:tc>
          <w:tcPr>
            <w:tcW w:w="860" w:type="dxa"/>
            <w:vAlign w:val="bottom"/>
            <w:tcBorders>
              <w:top w:val="single" w:sz="8" w:color="0000FF"/>
            </w:tcBorders>
            <w:gridSpan w:val="3"/>
          </w:tcPr>
          <w:p>
            <w:pPr>
              <w:spacing w:after="0"/>
              <w:rPr>
                <w:sz w:val="24"/>
                <w:szCs w:val="24"/>
                <w:color w:val="auto"/>
              </w:rPr>
            </w:pPr>
          </w:p>
        </w:tc>
        <w:tc>
          <w:tcPr>
            <w:tcW w:w="826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Item 1A. Risk Factors</w:t>
            </w:r>
          </w:p>
        </w:tc>
        <w:tc>
          <w:tcPr>
            <w:tcW w:w="9420" w:type="dxa"/>
            <w:vAlign w:val="bottom"/>
            <w:gridSpan w:val="1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19"/>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3.</w:t>
            </w:r>
          </w:p>
        </w:tc>
        <w:tc>
          <w:tcPr>
            <w:tcW w:w="4360" w:type="dxa"/>
            <w:vAlign w:val="bottom"/>
            <w:tcBorders>
              <w:top w:val="single" w:sz="8" w:color="0000FF"/>
            </w:tcBorders>
            <w:gridSpan w:val="11"/>
          </w:tcPr>
          <w:p>
            <w:pPr>
              <w:ind w:left="20"/>
              <w:spacing w:after="0"/>
              <w:rPr>
                <w:sz w:val="20"/>
                <w:szCs w:val="20"/>
                <w:color w:val="auto"/>
              </w:rPr>
            </w:pPr>
            <w:r>
              <w:rPr>
                <w:rFonts w:ascii="Arial" w:cs="Arial" w:eastAsia="Arial" w:hAnsi="Arial"/>
                <w:sz w:val="18"/>
                <w:szCs w:val="18"/>
                <w:color w:val="0000FF"/>
              </w:rPr>
              <w:t>Defaults Upon Senior Securities</w:t>
            </w:r>
          </w:p>
        </w:tc>
        <w:tc>
          <w:tcPr>
            <w:tcW w:w="612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234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Mine Safety Disclosures</w:t>
            </w:r>
          </w:p>
        </w:tc>
        <w:tc>
          <w:tcPr>
            <w:tcW w:w="8140" w:type="dxa"/>
            <w:vAlign w:val="bottom"/>
            <w:gridSpan w:val="8"/>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0"/>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10480" w:type="dxa"/>
            <w:vAlign w:val="bottom"/>
            <w:gridSpan w:val="17"/>
          </w:tcPr>
          <w:p>
            <w:pPr>
              <w:ind w:left="20"/>
              <w:spacing w:after="0"/>
              <w:rPr>
                <w:sz w:val="20"/>
                <w:szCs w:val="20"/>
                <w:color w:val="auto"/>
              </w:rPr>
            </w:pPr>
            <w:r>
              <w:rPr>
                <w:rFonts w:ascii="Arial" w:cs="Arial" w:eastAsia="Arial" w:hAnsi="Arial"/>
                <w:sz w:val="18"/>
                <w:szCs w:val="18"/>
                <w:color w:val="0000FF"/>
              </w:rPr>
              <w:t>Exhibits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9860" w:type="dxa"/>
            <w:vAlign w:val="bottom"/>
            <w:gridSpan w:val="1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40" w:type="dxa"/>
            <w:vAlign w:val="bottom"/>
            <w:gridSpan w:val="12"/>
          </w:tcPr>
          <w:p>
            <w:pPr>
              <w:jc w:val="right"/>
              <w:ind w:right="1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73"/>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53"/>
              <w:spacing w:after="0" w:line="151"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3"/>
                <w:szCs w:val="13"/>
                <w:color w:val="auto"/>
              </w:rPr>
            </w:pPr>
          </w:p>
        </w:tc>
        <w:tc>
          <w:tcPr>
            <w:tcW w:w="1480" w:type="dxa"/>
            <w:vAlign w:val="bottom"/>
          </w:tcPr>
          <w:p>
            <w:pPr>
              <w:jc w:val="right"/>
              <w:ind w:right="371"/>
              <w:spacing w:after="0" w:line="15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1480" w:type="dxa"/>
            <w:vAlign w:val="bottom"/>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7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4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252,838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131,880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$65,544 in 2023 and $69,264 in 2022)</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53,249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64,521</w:t>
            </w:r>
          </w:p>
        </w:tc>
        <w:tc>
          <w:tcPr>
            <w:tcW w:w="0" w:type="dxa"/>
            <w:vAlign w:val="bottom"/>
          </w:tcPr>
          <w:p>
            <w:pPr>
              <w:spacing w:after="0"/>
              <w:rPr>
                <w:sz w:val="1"/>
                <w:szCs w:val="1"/>
                <w:color w:val="auto"/>
              </w:rPr>
            </w:pPr>
          </w:p>
        </w:tc>
      </w:tr>
      <w:tr>
        <w:trPr>
          <w:trHeight w:val="188"/>
        </w:trPr>
        <w:tc>
          <w:tcPr>
            <w:tcW w:w="7620" w:type="dxa"/>
            <w:vAlign w:val="bottom"/>
          </w:tcPr>
          <w:p>
            <w:pPr>
              <w:ind w:left="220"/>
              <w:spacing w:after="0" w:line="189" w:lineRule="exact"/>
              <w:rPr>
                <w:sz w:val="20"/>
                <w:szCs w:val="20"/>
                <w:color w:val="auto"/>
              </w:rPr>
            </w:pPr>
            <w:r>
              <w:rPr>
                <w:rFonts w:ascii="Arial" w:cs="Arial" w:eastAsia="Arial" w:hAnsi="Arial"/>
                <w:sz w:val="18"/>
                <w:szCs w:val="18"/>
                <w:color w:val="auto"/>
                <w:w w:val="98"/>
              </w:rPr>
              <w:t>Lease Merchandise (net of accumulated depreciation and allowances of $455,912 in 2023 and</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$467,355 in 2022)</w:t>
            </w:r>
          </w:p>
        </w:tc>
        <w:tc>
          <w:tcPr>
            <w:tcW w:w="3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548,886</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648,043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Loans Receivable (net of allowances and unamortized fees of $49,071 in 2023 and $53,635 in 2022)</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122,812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0" w:type="dxa"/>
            <w:vAlign w:val="bottom"/>
          </w:tcPr>
          <w:p>
            <w:pPr>
              <w:spacing w:after="0"/>
              <w:rPr>
                <w:sz w:val="1"/>
                <w:szCs w:val="1"/>
                <w:color w:val="auto"/>
              </w:rPr>
            </w:pPr>
          </w:p>
        </w:tc>
      </w:tr>
      <w:tr>
        <w:trPr>
          <w:trHeight w:val="237"/>
        </w:trPr>
        <w:tc>
          <w:tcPr>
            <w:tcW w:w="76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23,655</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10,585</w:t>
            </w: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296,061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296,061</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102,964</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114,411</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19,606</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49,549</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54"/>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1,483,057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&amp;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130,841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135,025</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115,968</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137,261</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32,633</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37"/>
        </w:trPr>
        <w:tc>
          <w:tcPr>
            <w:tcW w:w="76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18,350</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21,122</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591,616</w:t>
            </w:r>
          </w:p>
        </w:tc>
        <w:tc>
          <w:tcPr>
            <w:tcW w:w="3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590,966</w:t>
            </w:r>
          </w:p>
        </w:tc>
        <w:tc>
          <w:tcPr>
            <w:tcW w:w="0" w:type="dxa"/>
            <w:vAlign w:val="bottom"/>
          </w:tcPr>
          <w:p>
            <w:pPr>
              <w:spacing w:after="0"/>
              <w:rPr>
                <w:sz w:val="1"/>
                <w:szCs w:val="1"/>
                <w:color w:val="auto"/>
              </w:rPr>
            </w:pP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889,408</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921,448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4)</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620" w:type="dxa"/>
            <w:vAlign w:val="bottom"/>
            <w:shd w:val="clear" w:color="auto" w:fill="CCEEFF"/>
          </w:tcPr>
          <w:p>
            <w:pPr>
              <w:ind w:left="220"/>
              <w:spacing w:after="0" w:line="180" w:lineRule="exact"/>
              <w:rPr>
                <w:sz w:val="20"/>
                <w:szCs w:val="20"/>
                <w:color w:val="auto"/>
              </w:rPr>
            </w:pPr>
            <w:r>
              <w:rPr>
                <w:rFonts w:ascii="Arial" w:cs="Arial" w:eastAsia="Arial" w:hAnsi="Arial"/>
                <w:sz w:val="18"/>
                <w:szCs w:val="18"/>
                <w:color w:val="auto"/>
                <w:w w:val="93"/>
              </w:rPr>
              <w:t>Common Stock, Par Value $0.50 Per Share: Authorized: 225,000,000 Shares at June 30, 2023 and</w:t>
            </w:r>
          </w:p>
        </w:tc>
        <w:tc>
          <w:tcPr>
            <w:tcW w:w="3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41,039</w:t>
            </w:r>
          </w:p>
        </w:tc>
        <w:tc>
          <w:tcPr>
            <w:tcW w:w="3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2022; Shares Issued: 82,078,654 at June 30, 2023 and December 31, 2022</w:t>
            </w:r>
          </w:p>
        </w:tc>
        <w:tc>
          <w:tcPr>
            <w:tcW w:w="3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343,016</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338,814</w:t>
            </w:r>
          </w:p>
        </w:tc>
        <w:tc>
          <w:tcPr>
            <w:tcW w:w="0" w:type="dxa"/>
            <w:vAlign w:val="bottom"/>
          </w:tcPr>
          <w:p>
            <w:pPr>
              <w:spacing w:after="0"/>
              <w:rPr>
                <w:sz w:val="1"/>
                <w:szCs w:val="1"/>
                <w:color w:val="auto"/>
              </w:rPr>
            </w:pPr>
          </w:p>
        </w:tc>
      </w:tr>
      <w:tr>
        <w:trPr>
          <w:trHeight w:val="236"/>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1,239,486</w:t>
            </w:r>
          </w:p>
        </w:tc>
        <w:tc>
          <w:tcPr>
            <w:tcW w:w="3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1,154,235</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1,623,541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1,534,088</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Shares at Cost</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w w:val="99"/>
              </w:rPr>
              <w:t>Common Stock: 36,368,322 Shares at June 30, 2023 and 34,044,102 at December 31, 2022</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(1,029,892)</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(963,627)</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593,649</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570,461</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1,483,057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r>
      <w:tr>
        <w:trPr>
          <w:trHeight w:val="26"/>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5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2022</w:t>
            </w:r>
          </w:p>
        </w:tc>
      </w:tr>
      <w:tr>
        <w:trPr>
          <w:trHeight w:val="189"/>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w w:val="93"/>
              </w:rPr>
              <w:t>(In Thousands, Except Per Share Data)</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7"/>
        </w:trPr>
        <w:tc>
          <w:tcPr>
            <w:tcW w:w="5140" w:type="dxa"/>
            <w:vAlign w:val="bottom"/>
          </w:tcPr>
          <w:p>
            <w:pPr>
              <w:ind w:left="340"/>
              <w:spacing w:after="0"/>
              <w:rPr>
                <w:sz w:val="20"/>
                <w:szCs w:val="20"/>
                <w:color w:val="auto"/>
              </w:rPr>
            </w:pPr>
            <w:r>
              <w:rPr>
                <w:rFonts w:ascii="Arial" w:cs="Arial" w:eastAsia="Arial" w:hAnsi="Arial"/>
                <w:sz w:val="18"/>
                <w:szCs w:val="18"/>
                <w:color w:val="auto"/>
              </w:rPr>
              <w:t>Lease Revenues and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574,839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631,344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1,211,921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1,324,258</w:t>
            </w:r>
          </w:p>
        </w:tc>
      </w:tr>
      <w:tr>
        <w:trPr>
          <w:trHeight w:val="23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Fees on Loans Receivable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18,007</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18,100</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36,065</w:t>
            </w: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35,650</w:t>
            </w:r>
          </w:p>
        </w:tc>
      </w:tr>
      <w:tr>
        <w:trPr>
          <w:trHeight w:val="223"/>
        </w:trPr>
        <w:tc>
          <w:tcPr>
            <w:tcW w:w="5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592,846</w:t>
            </w:r>
          </w:p>
        </w:tc>
        <w:tc>
          <w:tcPr>
            <w:tcW w:w="3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649,444</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1,247,986</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1,359,908</w:t>
            </w: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9"/>
        </w:trPr>
        <w:tc>
          <w:tcPr>
            <w:tcW w:w="5140" w:type="dxa"/>
            <w:vAlign w:val="bottom"/>
          </w:tcPr>
          <w:p>
            <w:pPr>
              <w:ind w:left="340"/>
              <w:spacing w:after="0"/>
              <w:rPr>
                <w:sz w:val="20"/>
                <w:szCs w:val="20"/>
                <w:color w:val="auto"/>
              </w:rPr>
            </w:pPr>
            <w:r>
              <w:rPr>
                <w:rFonts w:ascii="Arial" w:cs="Arial" w:eastAsia="Arial" w:hAnsi="Arial"/>
                <w:sz w:val="18"/>
                <w:szCs w:val="18"/>
                <w:color w:val="auto"/>
              </w:rPr>
              <w:t>Depreciation of Lease Merchandise</w:t>
            </w: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384,874</w:t>
            </w:r>
          </w:p>
        </w:tc>
        <w:tc>
          <w:tcPr>
            <w:tcW w:w="3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439,113</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820,313</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936,124</w:t>
            </w: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Lease Merchandise Write-offs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40,965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61,788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79,329</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112,118</w:t>
            </w:r>
          </w:p>
        </w:tc>
      </w:tr>
      <w:tr>
        <w:trPr>
          <w:trHeight w:val="229"/>
        </w:trPr>
        <w:tc>
          <w:tcPr>
            <w:tcW w:w="514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107,710</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111,606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212,969</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225,264</w:t>
            </w:r>
          </w:p>
        </w:tc>
      </w:tr>
      <w:tr>
        <w:trPr>
          <w:trHeight w:val="223"/>
        </w:trPr>
        <w:tc>
          <w:tcPr>
            <w:tcW w:w="5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533,549</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612,507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1,112,611</w:t>
            </w: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1,273,506</w:t>
            </w:r>
          </w:p>
        </w:tc>
      </w:tr>
      <w:tr>
        <w:trPr>
          <w:trHeight w:val="232"/>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59,297</w:t>
            </w:r>
          </w:p>
        </w:tc>
        <w:tc>
          <w:tcPr>
            <w:tcW w:w="30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36,937</w:t>
            </w:r>
          </w:p>
        </w:tc>
        <w:tc>
          <w:tcPr>
            <w:tcW w:w="3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135,375</w:t>
            </w: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86,402</w:t>
            </w:r>
          </w:p>
        </w:tc>
      </w:tr>
      <w:tr>
        <w:trPr>
          <w:trHeight w:val="234"/>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(19,237)</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52,014</w:t>
            </w:r>
          </w:p>
        </w:tc>
        <w:tc>
          <w:tcPr>
            <w:tcW w:w="3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27,329</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119,601</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67,165</w:t>
            </w: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14,796</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7,845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34,350</w:t>
            </w: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20,546</w:t>
            </w:r>
          </w:p>
        </w:tc>
      </w:tr>
      <w:tr>
        <w:trPr>
          <w:trHeight w:val="232"/>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37,218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19,484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85,251</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46,619</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1"/>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EARNINGS PER SHARE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0.80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Assuming Dilution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43"/>
        </w:trPr>
        <w:tc>
          <w:tcPr>
            <w:tcW w:w="5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46,474</w:t>
            </w:r>
          </w:p>
        </w:tc>
        <w:tc>
          <w:tcPr>
            <w:tcW w:w="3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52,880</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47,160</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54,134</w:t>
            </w:r>
          </w:p>
        </w:tc>
      </w:tr>
      <w:tr>
        <w:trPr>
          <w:trHeight w:val="243"/>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46,896</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52,961</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47,514</w:t>
            </w: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54,326</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7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85,251</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46,619</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Earnings to Cash Provided by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Depreciation of Lease Merchandise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820,313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936,124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Depreciation and 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15,895</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Arial" w:cs="Arial" w:eastAsia="Arial" w:hAnsi="Arial"/>
                <w:sz w:val="18"/>
                <w:szCs w:val="18"/>
                <w:color w:val="auto"/>
              </w:rPr>
              <w:t>Provisions for Accounts Receivable and Loan Losses</w:t>
            </w:r>
          </w:p>
        </w:tc>
        <w:tc>
          <w:tcPr>
            <w:tcW w:w="4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161,237</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201,980</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12,260</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(21,190)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Lease Expense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Other Changes,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Arial" w:cs="Arial" w:eastAsia="Arial" w:hAnsi="Arial"/>
                <w:sz w:val="18"/>
                <w:szCs w:val="18"/>
                <w:color w:val="auto"/>
              </w:rPr>
              <w:t>Additions to Lease Merchandise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(803,250)</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(951,751)</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Book Value of Lease Merchandise Sold or Disposed</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82,096</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114,427</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(132,460)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(188,921)</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Income Tax Receivable and Payable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Right-of-Use Assets and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(5,442)</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Customer Deposits and Advance Payments</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6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205,380</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155,742</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Investments in Loans Receivable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(90,746)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(92,741)</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Loans Receivable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84,491</w:t>
            </w: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76,244</w:t>
            </w:r>
          </w:p>
        </w:tc>
        <w:tc>
          <w:tcPr>
            <w:tcW w:w="0" w:type="dxa"/>
            <w:vAlign w:val="bottom"/>
          </w:tcPr>
          <w:p>
            <w:pPr>
              <w:spacing w:after="0"/>
              <w:rPr>
                <w:sz w:val="1"/>
                <w:szCs w:val="1"/>
                <w:color w:val="auto"/>
              </w:rPr>
            </w:pP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Outflows on Purchases of Property and Equipment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Property and Equipment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Proceeds from Acquisitions of Businesses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(21,967)</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of Treasury Stock</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(71,836)</w:t>
            </w: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(176,475)</w:t>
            </w:r>
          </w:p>
        </w:tc>
        <w:tc>
          <w:tcPr>
            <w:tcW w:w="0" w:type="dxa"/>
            <w:vAlign w:val="bottom"/>
          </w:tcPr>
          <w:p>
            <w:pPr>
              <w:spacing w:after="0"/>
              <w:rPr>
                <w:sz w:val="1"/>
                <w:szCs w:val="1"/>
                <w:color w:val="auto"/>
              </w:rPr>
            </w:pP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Tender Offer Shares Repurchased and Retired</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Stock Under Stock Option Plans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7"/>
        </w:trPr>
        <w:tc>
          <w:tcPr>
            <w:tcW w:w="7620" w:type="dxa"/>
            <w:vAlign w:val="bottom"/>
          </w:tcPr>
          <w:p>
            <w:pPr>
              <w:ind w:left="240"/>
              <w:spacing w:after="0"/>
              <w:rPr>
                <w:sz w:val="20"/>
                <w:szCs w:val="20"/>
                <w:color w:val="auto"/>
              </w:rPr>
            </w:pPr>
            <w:r>
              <w:rPr>
                <w:rFonts w:ascii="Arial" w:cs="Arial" w:eastAsia="Arial" w:hAnsi="Arial"/>
                <w:sz w:val="18"/>
                <w:szCs w:val="18"/>
                <w:color w:val="auto"/>
              </w:rPr>
              <w:t>Shares Withheld for Tax Payments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(2,533)</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Issuance Costs</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Used in Financing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(73,792)</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(176,594)</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120,958</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(42,819)</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131,880</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170,159</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252,838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Net Cash Paid During the Period: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18,531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53,624</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19,475</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ectPr>
          <w:pgSz w:w="11900" w:h="16838" w:orient="portrait"/>
          <w:cols w:equalWidth="0" w:num="1">
            <w:col w:w="11200"/>
          </w:cols>
          <w:pgMar w:left="340" w:top="1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820"/>
        <w:spacing w:after="0" w:line="393" w:lineRule="auto"/>
        <w:rPr>
          <w:sz w:val="20"/>
          <w:szCs w:val="20"/>
          <w:color w:val="auto"/>
        </w:rPr>
      </w:pPr>
      <w:r>
        <w:rPr>
          <w:rFonts w:ascii="Arial" w:cs="Arial" w:eastAsia="Arial" w:hAnsi="Arial"/>
          <w:sz w:val="18"/>
          <w:szCs w:val="18"/>
          <w:b w:val="1"/>
          <w:bCs w:val="1"/>
          <w:color w:val="auto"/>
        </w:rPr>
        <w:t xml:space="preserve">NOTE 1. BASIS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PROG Holdings’ ecosystem of financial technology offerings also includes Four Technologies, Inc. ("Four"), an innovative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three and six month periods ended June 30, 2023 as its financial results are not material to the Company's condensed consolidated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the rate of inflation, increasing unemployment rates, the resumption of student loan repayments, and/or a prolonged recession in the United States.</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2022 (the "2022 Annual Report") filed with the United States Securities and Exchange Commission on February 22, 2023. The results of operations for the three and six months ended June 30, 2023 are not necessarily indicative of operating results for the full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consolidated financial statements include the accounts of PROG Holdings, Inc. and its subsidiaries, each of which is wholly-owned.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between consolidated entities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consolidated financial statements in the 2022 Annual Report for an expanded discussion of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775"/>
              <w:spacing w:after="0"/>
              <w:rPr>
                <w:sz w:val="20"/>
                <w:szCs w:val="20"/>
                <w:color w:val="auto"/>
              </w:rPr>
            </w:pPr>
            <w:r>
              <w:rPr>
                <w:rFonts w:ascii="Arial" w:cs="Arial" w:eastAsia="Arial" w:hAnsi="Arial"/>
                <w:sz w:val="14"/>
                <w:szCs w:val="14"/>
                <w:b w:val="1"/>
                <w:bCs w:val="1"/>
                <w:color w:val="auto"/>
              </w:rPr>
              <w:t>Three Months Ended June 30,</w:t>
            </w:r>
          </w:p>
        </w:tc>
        <w:tc>
          <w:tcPr>
            <w:tcW w:w="2780" w:type="dxa"/>
            <w:vAlign w:val="bottom"/>
            <w:tcBorders>
              <w:bottom w:val="single" w:sz="8" w:color="auto"/>
            </w:tcBorders>
            <w:gridSpan w:val="2"/>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7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2023</w:t>
            </w:r>
          </w:p>
        </w:tc>
        <w:tc>
          <w:tcPr>
            <w:tcW w:w="15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15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7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46,474</w:t>
            </w:r>
          </w:p>
        </w:tc>
        <w:tc>
          <w:tcPr>
            <w:tcW w:w="1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52,880</w:t>
            </w:r>
          </w:p>
        </w:tc>
        <w:tc>
          <w:tcPr>
            <w:tcW w:w="15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47,160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w:t>
            </w:r>
          </w:p>
        </w:tc>
      </w:tr>
      <w:tr>
        <w:trPr>
          <w:trHeight w:val="23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174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422</w:t>
            </w:r>
          </w:p>
        </w:tc>
        <w:tc>
          <w:tcPr>
            <w:tcW w:w="15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81</w:t>
            </w: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354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5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17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46,896</w:t>
            </w:r>
          </w:p>
        </w:tc>
        <w:tc>
          <w:tcPr>
            <w:tcW w:w="15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52,961</w:t>
            </w:r>
          </w:p>
        </w:tc>
        <w:tc>
          <w:tcPr>
            <w:tcW w:w="15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47,514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Approximately 818,000 and 1,013,000 weighted-average share-based awards were excluded from the computation of earnings per share assuming dilution during the three and six months ended June 30, 2023, respectively, as the awards would have been anti-dilutive for the periods presented.</w:t>
      </w:r>
    </w:p>
    <w:p>
      <w:pPr>
        <w:spacing w:after="0" w:line="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Approximately 1,546,000 and 1,316,000 weighted-average share-based awards were excluded from the computation of earnings per share assuming dilution during the three and six months ended June 30, 2022,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10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condensed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spacing w:after="0" w:line="4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condensed consolidated balance sheets in loans receivable. Cardholders generally have an initial 24-month period that the card is active. The merchant fee discount, net of the origination costs, is amortized on a net basis and is recorded as interest and fees on loans receivable in the condensed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spacing w:after="0" w:line="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condensed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condensed consolidated balance sheets.</w:t>
      </w:r>
    </w:p>
    <w:p>
      <w:pPr>
        <w:spacing w:after="0" w:line="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spacing w:after="0" w:line="4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condensed consolidated statements of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$53.2 million and $64.5 million, net of allowances, as of June 30, 2023 and December 31, 2022, respectively.</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inflation, higher interest rates, the resumption of student loan repayments, and/or unemployment rates on our business, a high level of estimation was involved in determining the allowance as of June 30, 2023. Therefore, actual future accounts receivable write-offs may differ materially from the allowance. If the significant increase in inflation that began during 2022 continues in future periods, or if the current level of inflation does not decrease, such developments may further adversely impact certain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 off lease receivables after 120 days.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Vive's allowance for uncollectible merchant accounts receivable, which primarily relates to cardholder returns and refunds, and is an immaterial amount related to Vive's bad debt expense, is recorded within operating expenses in the condensed consolidated statements of earnings. See below for a discussion of Vive's loans receivable and related allowance for loan losses.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98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65,170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76,507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69,264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71,233</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Net Book Value of Accounts Written Off</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(83,135)</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(100,809)</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(169,198)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(193,742)</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9,727</w:t>
            </w: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9,228</w:t>
            </w: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21,746</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Accounts Receivable Provision</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73,782</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96,972</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185,520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65,544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81,898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65,544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10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higher interest rates, the resumption of student loan repayments, and/or unemployment rates on our business, a high level of estimation was involved in determining the allowance as of June 30, 2023. Actual lease merchandise write-offs may differ materially from the allowance as of June 30, 2023. If the significant increase in the rate of inflation that began during 2022 continues in future periods, or if the current level of inflation does not decrease, such developments may further adversely impact our customers' ability to continue to make payments to the Company. For customer lease agreements that are past due, the Company's policy is to write off lease merchandise after 120 days.</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condensed consolidated balance sheets: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98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3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47,945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59,947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47,118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54,367</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Net Book Value of Merchandise Written off</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(41,151)</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(53,432)</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(80,583)</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(100,566)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1,720</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2,276</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3,615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Write-offs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40,965</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61,788</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79,329</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49,479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70,579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49,479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$7.6 million and $14.4 million for such additional consideration to POS partners, during the three and six months ended June 30, 2023, respectively, compared to $6.3 million and $12.8 million during the three and six months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ended June 30, 2022. Expenses related to additional consideration provided to POS partners are classified within operating expenses in the condensed consolidated statements of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$2.9 million and $5.3 million of outstanding receivables from customers of Four as of June 30, 2023 and December 31, 2022, respectively.</w:t>
      </w:r>
    </w:p>
    <w:p>
      <w:pPr>
        <w:spacing w:after="0" w:line="5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5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Subsequent to the twelve-month reasonable and supportable forecast period described above, the Company reverts to using historical loss information on a straight-line basis over a six-month period. For the remaining life of the portfolio, the Company utilizes historical loss information. The Company may also consider other qualitative factors in estimating the allowance, as necessary. For the purposes of determining the allowance as of June 30, 2023, management considered qualitative factors such as the impact of the rapid increase in the rate of inflation that began during 2022 and remained high through early 2023, the more recent declines in inflation rates, as well as the beneficial impact of government stimulus measures to the Company's customer base in 2020 and 2021.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due to the volatility of inflation, forecasted higher unemployment rates, and/or the resumption of student loan repayments in October 2023, the Company's results of operations and liquidity may be materially affected.</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5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Vive extends or declines credit to an applicant through its bank partners based upon the applicant's credit rating and other factors. Below is a summary of the credit quality of the Company's loan portfolio as of June 30, 2023 and December 31, 2022 by FICO score as determined at the time of loan origination: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FICO Score Category</w:t>
            </w:r>
          </w:p>
        </w:tc>
        <w:tc>
          <w:tcPr>
            <w:tcW w:w="60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June 30, 2023</w:t>
            </w:r>
          </w:p>
        </w:tc>
        <w:tc>
          <w:tcPr>
            <w:tcW w:w="1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6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6020" w:type="dxa"/>
            <w:vAlign w:val="bottom"/>
          </w:tcPr>
          <w:p>
            <w:pPr>
              <w:jc w:val="right"/>
              <w:ind w:right="133"/>
              <w:spacing w:after="0"/>
              <w:rPr>
                <w:sz w:val="20"/>
                <w:szCs w:val="20"/>
                <w:color w:val="auto"/>
              </w:rPr>
            </w:pPr>
            <w:r>
              <w:rPr>
                <w:rFonts w:ascii="Arial" w:cs="Arial" w:eastAsia="Arial" w:hAnsi="Arial"/>
                <w:sz w:val="18"/>
                <w:szCs w:val="18"/>
                <w:color w:val="auto"/>
              </w:rPr>
              <w:t>78.0 %</w:t>
            </w:r>
          </w:p>
        </w:tc>
        <w:tc>
          <w:tcPr>
            <w:tcW w:w="1660" w:type="dxa"/>
            <w:vAlign w:val="bottom"/>
          </w:tcPr>
          <w:p>
            <w:pPr>
              <w:jc w:val="right"/>
              <w:spacing w:after="0"/>
              <w:rPr>
                <w:sz w:val="20"/>
                <w:szCs w:val="20"/>
                <w:color w:val="auto"/>
              </w:rPr>
            </w:pPr>
            <w:r>
              <w:rPr>
                <w:rFonts w:ascii="Arial" w:cs="Arial" w:eastAsia="Arial" w:hAnsi="Arial"/>
                <w:sz w:val="18"/>
                <w:szCs w:val="18"/>
                <w:color w:val="auto"/>
              </w:rPr>
              <w:t>75.4 %</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6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12.9 %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No Score Identified</w:t>
            </w:r>
          </w:p>
        </w:tc>
        <w:tc>
          <w:tcPr>
            <w:tcW w:w="6020" w:type="dxa"/>
            <w:vAlign w:val="bottom"/>
          </w:tcPr>
          <w:p>
            <w:pPr>
              <w:jc w:val="right"/>
              <w:ind w:right="133"/>
              <w:spacing w:after="0"/>
              <w:rPr>
                <w:sz w:val="20"/>
                <w:szCs w:val="20"/>
                <w:color w:val="auto"/>
              </w:rPr>
            </w:pPr>
            <w:r>
              <w:rPr>
                <w:rFonts w:ascii="Arial" w:cs="Arial" w:eastAsia="Arial" w:hAnsi="Arial"/>
                <w:sz w:val="18"/>
                <w:szCs w:val="18"/>
                <w:color w:val="auto"/>
              </w:rPr>
              <w:t>2.2 %</w:t>
            </w:r>
          </w:p>
        </w:tc>
        <w:tc>
          <w:tcPr>
            <w:tcW w:w="16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904"/>
        </w:trPr>
        <w:tc>
          <w:tcPr>
            <w:tcW w:w="3560" w:type="dxa"/>
            <w:vAlign w:val="bottom"/>
          </w:tcPr>
          <w:p>
            <w:pPr>
              <w:spacing w:after="0"/>
              <w:rPr>
                <w:sz w:val="24"/>
                <w:szCs w:val="24"/>
                <w:color w:val="auto"/>
              </w:rPr>
            </w:pPr>
          </w:p>
        </w:tc>
        <w:tc>
          <w:tcPr>
            <w:tcW w:w="6020" w:type="dxa"/>
            <w:vAlign w:val="bottom"/>
          </w:tcPr>
          <w:p>
            <w:pPr>
              <w:jc w:val="right"/>
              <w:ind w:right="3773"/>
              <w:spacing w:after="0"/>
              <w:rPr>
                <w:sz w:val="20"/>
                <w:szCs w:val="20"/>
                <w:color w:val="auto"/>
              </w:rPr>
            </w:pPr>
            <w:r>
              <w:rPr>
                <w:rFonts w:ascii="Arial" w:cs="Arial" w:eastAsia="Arial" w:hAnsi="Arial"/>
                <w:sz w:val="18"/>
                <w:szCs w:val="18"/>
                <w:color w:val="auto"/>
              </w:rPr>
              <w:t>10</w:t>
            </w:r>
          </w:p>
        </w:tc>
        <w:tc>
          <w:tcPr>
            <w:tcW w:w="166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Prepaid Lease Merchandise</w:t>
            </w:r>
          </w:p>
        </w:tc>
        <w:tc>
          <w:tcPr>
            <w:tcW w:w="2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7,363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10,134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Software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9,097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24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5,573</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6,016</w:t>
            </w: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6,636</w:t>
            </w: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49,549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26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23,914</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21,366</w:t>
            </w:r>
          </w:p>
        </w:tc>
      </w:tr>
      <w:tr>
        <w:trPr>
          <w:trHeight w:val="23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13,202</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1,985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43"/>
        </w:trPr>
        <w:tc>
          <w:tcPr>
            <w:tcW w:w="78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Uncertain Tax Positions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53,003</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Accrued Vendor Rebates</w:t>
            </w:r>
          </w:p>
        </w:tc>
        <w:tc>
          <w:tcPr>
            <w:tcW w:w="26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9,320</w:t>
            </w: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24,453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130,841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135,025</w:t>
            </w:r>
          </w:p>
        </w:tc>
      </w:tr>
      <w:tr>
        <w:trPr>
          <w:trHeight w:val="27"/>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ind w:left="80" w:right="80" w:hanging="72"/>
        <w:spacing w:after="0" w:line="219" w:lineRule="auto"/>
        <w:tabs>
          <w:tab w:leader="none" w:pos="87"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The uncertain tax positions as of June 30, 2023 and December 31, 2022 are primarily related to the Company’s tax treatment of the $175.0 million settlement payment made in 2020 to the FTC as discussed in Note 10 and Note 11 to the consolidated financial statements in the 2022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June 30, 2023 and December 31, 2022.</w:t>
      </w:r>
    </w:p>
    <w:p>
      <w:pPr>
        <w:spacing w:after="0" w:line="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from the Senior Notes were used to fund the purchase price, and related fees and expenses, of the Company’s tender offer to purchase</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$425 million of the Company’s common stock as discussed in Note 12 to the consolidated financial statements in the 2022 Annual Report. Any remaining proceeds were intended for future share repurchases or, to the extent the Company determines not to repurchase additional shares, for general corporate purposes.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30, 2023, the Company was in compliance with all covenants related to its outstanding debt. See Note 9 to the consolidated financial statements in the 2022 Annual Report for further information regarding the Company's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Goodwill represents the excess of the purchase price paid over the fair value of the identifiable net tangible and intangible assets acquired in connection with business acquisitions. Progressive Leasing and Four are the only reporting units with goodwill as of June 30, 2023.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2022, the Company determined the Four goodwill was partially impaired and recorded an impairment of goodwill of $10.2 million during the third quarter of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Buy Now, Pay Later industry. We believe the comparable companies we evaluated as marketplace participants served as an appropriate reference when calculating fair value because those companies have similar risks, participate in similar markets, provide similar products and services for their customers and compete with Four directly. As of June 30, 2023, Four's goodwill balance was $7.3 million.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Buy Now, Pay Later peer market multiples.</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completed its annual goodwill impairment test for Progressive Leasing as of October 1, 2022 and concluded that no impairment had occurred. The Company determined that there were no events or circumstances that occurred during the six months ended June 30, 2023 that would more likely than not reduce the fair value of Progressive Leasing or Four below their carrying amounts.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six months ended June 30, 2023 and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2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1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6"/>
                <w:szCs w:val="16"/>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
                <w:szCs w:val="2"/>
                <w:color w:val="auto"/>
              </w:rPr>
            </w:pPr>
          </w:p>
        </w:tc>
        <w:tc>
          <w:tcPr>
            <w:tcW w:w="10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Paid-in Capital</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(963,627)</w:t>
            </w: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338,814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1,154,235</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570,461</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5,460</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(1,459)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(36,769)</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48,033</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48,033</w:t>
            </w:r>
          </w:p>
        </w:tc>
        <w:tc>
          <w:tcPr>
            <w:tcW w:w="0" w:type="dxa"/>
            <w:vAlign w:val="bottom"/>
          </w:tcPr>
          <w:p>
            <w:pPr>
              <w:spacing w:after="0"/>
              <w:rPr>
                <w:sz w:val="1"/>
                <w:szCs w:val="1"/>
                <w:color w:val="auto"/>
              </w:rPr>
            </w:pPr>
          </w:p>
        </w:tc>
      </w:tr>
      <w:tr>
        <w:trPr>
          <w:trHeight w:val="209"/>
        </w:trPr>
        <w:tc>
          <w:tcPr>
            <w:tcW w:w="2520" w:type="dxa"/>
            <w:vAlign w:val="bottom"/>
          </w:tcPr>
          <w:p>
            <w:pPr>
              <w:ind w:left="20"/>
              <w:spacing w:after="0"/>
              <w:rPr>
                <w:sz w:val="20"/>
                <w:szCs w:val="20"/>
                <w:color w:val="auto"/>
              </w:rPr>
            </w:pPr>
            <w:r>
              <w:rPr>
                <w:rFonts w:ascii="Arial" w:cs="Arial" w:eastAsia="Arial" w:hAnsi="Arial"/>
                <w:sz w:val="16"/>
                <w:szCs w:val="16"/>
                <w:color w:val="auto"/>
              </w:rPr>
              <w:t>Balance, March 31,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(995,618)</w:t>
            </w:r>
          </w:p>
        </w:tc>
        <w:tc>
          <w:tcPr>
            <w:tcW w:w="12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337,103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1,202,268</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584,792</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6,886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(35,713)</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37,218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37,218</w:t>
            </w: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(1,029,892)</w:t>
            </w:r>
          </w:p>
        </w:tc>
        <w:tc>
          <w:tcPr>
            <w:tcW w:w="122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343,016</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1,239,486</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593,649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520" w:type="dxa"/>
            <w:vAlign w:val="bottom"/>
          </w:tcPr>
          <w:p>
            <w:pPr>
              <w:spacing w:after="0"/>
              <w:rPr>
                <w:sz w:val="24"/>
                <w:szCs w:val="24"/>
                <w:color w:val="auto"/>
              </w:rPr>
            </w:pPr>
          </w:p>
        </w:tc>
        <w:tc>
          <w:tcPr>
            <w:tcW w:w="2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4"/>
          </w:tcPr>
          <w:p>
            <w:pPr>
              <w:ind w:left="6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1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24"/>
                <w:szCs w:val="24"/>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
                <w:szCs w:val="2"/>
                <w:color w:val="auto"/>
              </w:rPr>
            </w:pPr>
          </w:p>
        </w:tc>
        <w:tc>
          <w:tcPr>
            <w:tcW w:w="10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Paid-in Capital</w:t>
            </w:r>
          </w:p>
        </w:tc>
        <w:tc>
          <w:tcPr>
            <w:tcW w:w="26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360" w:type="dxa"/>
            <w:vAlign w:val="bottom"/>
          </w:tcPr>
          <w:p>
            <w:pPr>
              <w:spacing w:after="0"/>
              <w:rPr>
                <w:sz w:val="16"/>
                <w:szCs w:val="16"/>
                <w:color w:val="auto"/>
              </w:rPr>
            </w:pPr>
          </w:p>
        </w:tc>
        <w:tc>
          <w:tcPr>
            <w:tcW w:w="1020" w:type="dxa"/>
            <w:vAlign w:val="bottom"/>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(749,401)</w:t>
            </w: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332,244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1,055,526</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679,408</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6,587</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6,587</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(2,200)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(78,080)</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27,135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27,135</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(822,221)</w:t>
            </w:r>
          </w:p>
        </w:tc>
        <w:tc>
          <w:tcPr>
            <w:tcW w:w="12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331,055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1,082,661</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632,534</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2,484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(716)</w:t>
            </w:r>
          </w:p>
        </w:tc>
        <w:tc>
          <w:tcPr>
            <w:tcW w:w="26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19,484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w:t>
            </w: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(31,513)</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(919,236)</w:t>
            </w:r>
          </w:p>
        </w:tc>
        <w:tc>
          <w:tcPr>
            <w:tcW w:w="122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332,823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1,102,145</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556,771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During the six months ended June 30, 2023, the Company issued 546,703 restricted stock units, 207,838 stock options, and 319,114 performance share units to certain employees, which vest over one to three-year periods for certain units and upon the achievement of specified performance conditions for other units. The weighted average fair value of the restricted stock and performance share awards was $25.25, which was based on the fair market value of the Company’s common stock on the dates of grant. The weighted average fair value of the stock option awards was $11.66,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Arial" w:cs="Arial" w:eastAsia="Arial" w:hAnsi="Arial"/>
          <w:sz w:val="16"/>
          <w:szCs w:val="16"/>
          <w:i w:val="1"/>
          <w:iCs w:val="1"/>
          <w:color w:val="auto"/>
        </w:rPr>
        <w:t>Stock-based Compensation</w:t>
      </w:r>
      <w:r>
        <w:rPr>
          <w:rFonts w:ascii="Arial" w:cs="Arial" w:eastAsia="Arial" w:hAnsi="Arial"/>
          <w:sz w:val="16"/>
          <w:szCs w:val="16"/>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9" w:lineRule="exact"/>
        <w:rPr>
          <w:sz w:val="20"/>
          <w:szCs w:val="20"/>
          <w:color w:val="auto"/>
        </w:rPr>
      </w:pPr>
    </w:p>
    <w:p>
      <w:pPr>
        <w:ind w:left="900" w:right="840"/>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9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Facilitation of the Effects of Reference Rate Reform on Financial Reporting</w:t>
      </w:r>
      <w:r>
        <w:rPr>
          <w:rFonts w:ascii="Arial" w:cs="Arial" w:eastAsia="Arial" w:hAnsi="Arial"/>
          <w:sz w:val="17"/>
          <w:szCs w:val="17"/>
          <w:color w:val="auto"/>
        </w:rPr>
        <w:t xml:space="preserve"> ("ASU 2020-04"). The standard provides temporary guidance to ease the potential burden in accounting for reference rate reform primarily resulting from the discontinuation of the London Interbank Overnight Rate ("LIBOR") or another reference rate expected to be discontinued. Entities may apply the provisions of the new standard as of the beginning of the reporting period when the election is made. The provisions of this update have been extended to December 31, 2024, when the reference rate replacement activity is expected to have been completed. The Company's Revolving Facility currently references LIBOR for determining interest payable on outstanding borrowings. The amendments in ASU 2020-04 are elective and apply to all entities that have contracts referencing LIBOR. The new guidance provides an expedient which simplifies accounting analyses under current U.S. GAAP for contract modifications if the change is directly related to a change from LIBOR to a new interest rate index. The Company amended the Revolving Facility agreement to change the reference rate from LIBOR to the Secured Overnight Financing Rate ("SOFR") during the three month period ended June 30, 2023. There were no other changes to key terms of the Revolving Facility agreement and the legal expenses incurred in connection with the amendment were immaterial.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June 30, 2023</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91"/>
              </w:rPr>
              <w:t>December 31, 2022</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3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36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2,264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2,185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and unamortized fees in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Four's loans receivable, net of an allowance for loan losses and unamortized fees, are included within loans receivable, net in the condensed consolidated balance sheets and approximated fair value based on a discounted cash flow methodology.</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26, 2021, the Company entered into an indenture in connection with its offering of $600 million aggregate principal amount of its Senior Notes due in 2029. The Senior Notes are carried at amortized cost in the condensed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Company's debt and the loans receivable held by Vive and Four: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June 30, 2023</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December 31, 2022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3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5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r>
      <w:tr>
        <w:trPr>
          <w:trHeight w:val="23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520,500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481,320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Loans Receivable, Net</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150,932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165,690</w:t>
            </w:r>
          </w:p>
        </w:tc>
      </w:tr>
      <w:tr>
        <w:trPr>
          <w:trHeight w:val="904"/>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loans receivable,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440" w:type="dxa"/>
            <w:vAlign w:val="bottom"/>
          </w:tcPr>
          <w:p>
            <w:pPr>
              <w:ind w:left="16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171,883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184,601</w:t>
            </w:r>
          </w:p>
        </w:tc>
      </w:tr>
      <w:tr>
        <w:trPr>
          <w:trHeight w:val="237"/>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Unamortized Fees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(10,125)</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(11,207)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161,758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173,394</w:t>
            </w:r>
          </w:p>
        </w:tc>
      </w:tr>
      <w:tr>
        <w:trPr>
          <w:trHeight w:val="230"/>
        </w:trPr>
        <w:tc>
          <w:tcPr>
            <w:tcW w:w="782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(38,946)</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(42,428)</w:t>
            </w:r>
          </w:p>
        </w:tc>
      </w:tr>
      <w:tr>
        <w:trPr>
          <w:trHeight w:val="261"/>
        </w:trPr>
        <w:tc>
          <w:tcPr>
            <w:tcW w:w="7820" w:type="dxa"/>
            <w:vAlign w:val="bottom"/>
            <w:tcBorders>
              <w:bottom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Loans Receivable, Net of Allowances and Unamortized Fees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122,812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130,966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Loans Receivable, Net of Allowances and Unamortized Fees, attributable to Four was $2.9 million and $5.3 million as of June 30, 2023 and December 31, 2022,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credit quality indicators of the amortized cost of the Company's loans receivable by origination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2023</w:t>
            </w:r>
          </w:p>
        </w:tc>
        <w:tc>
          <w:tcPr>
            <w:tcW w:w="240" w:type="dxa"/>
            <w:vAlign w:val="bottom"/>
          </w:tcPr>
          <w:p>
            <w:pPr>
              <w:spacing w:after="0"/>
              <w:rPr>
                <w:sz w:val="13"/>
                <w:szCs w:val="13"/>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9"/>
              </w:rPr>
              <w:t>2021 and Prior</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Revolving</w:t>
            </w:r>
          </w:p>
        </w:tc>
        <w:tc>
          <w:tcPr>
            <w:tcW w:w="320" w:type="dxa"/>
            <w:vAlign w:val="bottom"/>
          </w:tcPr>
          <w:p>
            <w:pPr>
              <w:spacing w:after="0"/>
              <w:rPr>
                <w:sz w:val="13"/>
                <w:szCs w:val="13"/>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FICO Score Category: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600 or Less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11,238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600 and 700</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126,429</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700 or Greater</w:t>
            </w:r>
          </w:p>
        </w:tc>
        <w:tc>
          <w:tcPr>
            <w:tcW w:w="24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20,418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Score Identified</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3,673</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Total Amortized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3,673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158,085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60" w:type="dxa"/>
            <w:vAlign w:val="bottom"/>
          </w:tcPr>
          <w:p>
            <w:pPr>
              <w:ind w:left="20"/>
              <w:spacing w:after="0" w:line="176" w:lineRule="exact"/>
              <w:rPr>
                <w:sz w:val="20"/>
                <w:szCs w:val="20"/>
                <w:color w:val="auto"/>
              </w:rPr>
            </w:pPr>
            <w:r>
              <w:rPr>
                <w:rFonts w:ascii="Arial" w:cs="Arial" w:eastAsia="Arial" w:hAnsi="Arial"/>
                <w:sz w:val="18"/>
                <w:szCs w:val="18"/>
                <w:color w:val="auto"/>
                <w:w w:val="93"/>
              </w:rPr>
              <w:t>Gross Charge-offs by Origination Year for the Six Months Ended June 30,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526</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2,449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20,645</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580" w:type="dxa"/>
            <w:vAlign w:val="bottom"/>
            <w:gridSpan w:val="2"/>
          </w:tcPr>
          <w:p>
            <w:pPr>
              <w:spacing w:after="0"/>
              <w:rPr>
                <w:sz w:val="20"/>
                <w:szCs w:val="20"/>
                <w:color w:val="auto"/>
              </w:rPr>
            </w:pPr>
            <w:r>
              <w:rPr>
                <w:rFonts w:ascii="Arial" w:cs="Arial" w:eastAsia="Arial" w:hAnsi="Arial"/>
                <w:sz w:val="18"/>
                <w:szCs w:val="18"/>
                <w:color w:val="auto"/>
                <w:w w:val="90"/>
              </w:rPr>
              <w:t>Included in the table below is an aging of the loans receivable, gross balance: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4"/>
                <w:szCs w:val="14"/>
                <w:b w:val="1"/>
                <w:bCs w:val="1"/>
                <w:color w:val="auto"/>
              </w:rPr>
              <w:t>(Dollar Amounts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4"/>
                <w:szCs w:val="14"/>
                <w:b w:val="1"/>
                <w:bCs w:val="1"/>
                <w:color w:val="auto"/>
              </w:rPr>
              <w:t>Aging Category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w w:val="90"/>
              </w:rPr>
              <w:t>June 30, 2023</w:t>
            </w:r>
          </w:p>
        </w:tc>
        <w:tc>
          <w:tcPr>
            <w:tcW w:w="440" w:type="dxa"/>
            <w:vAlign w:val="bottom"/>
          </w:tcPr>
          <w:p>
            <w:pPr>
              <w:spacing w:after="0"/>
              <w:rPr>
                <w:sz w:val="17"/>
                <w:szCs w:val="17"/>
                <w:color w:val="auto"/>
              </w:rPr>
            </w:pPr>
          </w:p>
        </w:tc>
        <w:tc>
          <w:tcPr>
            <w:tcW w:w="186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30-59 Days Past Due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6.1 %</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60-89 Days Past Due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6"/>
              </w:rPr>
              <w:t>3.3 %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90 or More Days Past Due</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4.5 %</w:t>
            </w:r>
          </w:p>
        </w:tc>
        <w:tc>
          <w:tcPr>
            <w:tcW w:w="7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Past Due Loans Receivable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86.1 %</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Balance of Credit Card Loans on Nonaccrual Status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3,834</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Balance of Loans Receivable 90 or More Days Past Due and Still Accruing Interest and Fees</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center"/>
              <w:ind w:right="29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the allowance for loan losses for the three and six months ended June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98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39,781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40,279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42,428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8,791</w:t>
            </w:r>
          </w:p>
        </w:tc>
        <w:tc>
          <w:tcPr>
            <w:tcW w:w="4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8,778</w:t>
            </w:r>
          </w:p>
        </w:tc>
        <w:tc>
          <w:tcPr>
            <w:tcW w:w="4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17,505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1,256</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1,026</w:t>
            </w: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2,633</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38,946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40,797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38,946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275"/>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June 30, 2023 and December 31, 2022, the Company had accrued $1.1 million and $0.6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June 30, 2023,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has fully cooperated, and anticipates continuing to cooperate, with the DFPI in responding to its inquiry.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The complaint seeks, among other things, to convert all RTO agreements entered into by Progressive Leasing prior to September 9, 2022 into retail installment contracts for which the maximum interest rate is 6% per annum, civil penalties in the amount of $1,000 for each violation of Pennsylvania’s Unfair Trade Practices and Consumer Protection Law (and $3,000 for each such violation involving a consumer age 60 or older) and unspecified investigation and prosecution costs. Progressive Leasing believes the Pennsylvania Attorney General’s claims are without merit and intends to vigorously defend itself in this matter. It is reasonably possible that a loss in excess of amounts accrued may be incurred, but at this time, we are unable to predict the outcome or reasonably estimate the range of losses that could potentially result from this lawsuit.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jc w:val="center"/>
        <w:ind w:right="-1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had unconditionally cancellable unfunded lending commitments totaling $533.0 million and $513.7 million as of June 30,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EXPENSES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2022, the Company initiated restructuring activities intended to reduce expenses, consolidate certain segment corporate headquarters, and align the cost structure of the business with the Company's near-term revenue outlook. The Company continued such activities during the first half of 2023 and recorded restructuring expenses of $1.0 million and $1.7 million for the three and six months ended June 30, 2023, respectfully, resulting in aggregate expenses of $10.7 million since the inception of the restructuring activities in 2022. These costs were primarily comprised of employee severance within Progressive Leasing and operating lease right-of-use asset impairment charges related to the relocation of the Vive corporate headquarters to the Company's corporate office building and a reduction of call center office space.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restructuring charges recorded within operating expenses in the condensed consolidated statements of earnings for the three and six months ended June 30,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June 30, 2023</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 2022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Vive</w:t>
            </w:r>
          </w:p>
        </w:tc>
        <w:tc>
          <w:tcPr>
            <w:tcW w:w="260" w:type="dxa"/>
            <w:vAlign w:val="bottom"/>
          </w:tcPr>
          <w:p>
            <w:pPr>
              <w:spacing w:after="0"/>
              <w:rPr>
                <w:sz w:val="11"/>
                <w:szCs w:val="11"/>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88"/>
        </w:trPr>
        <w:tc>
          <w:tcPr>
            <w:tcW w:w="2300" w:type="dxa"/>
            <w:vAlign w:val="bottom"/>
          </w:tcPr>
          <w:p>
            <w:pPr>
              <w:ind w:left="20"/>
              <w:spacing w:after="0" w:line="189" w:lineRule="exact"/>
              <w:rPr>
                <w:sz w:val="20"/>
                <w:szCs w:val="20"/>
                <w:color w:val="auto"/>
              </w:rPr>
            </w:pPr>
            <w:r>
              <w:rPr>
                <w:rFonts w:ascii="Arial" w:cs="Arial" w:eastAsia="Arial" w:hAnsi="Arial"/>
                <w:sz w:val="18"/>
                <w:szCs w:val="18"/>
                <w:color w:val="auto"/>
              </w:rPr>
              <w:t>Right-of-Use Asset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ind w:left="600"/>
              <w:spacing w:after="0"/>
              <w:rPr>
                <w:sz w:val="20"/>
                <w:szCs w:val="20"/>
                <w:color w:val="auto"/>
              </w:rPr>
            </w:pPr>
            <w:r>
              <w:rPr>
                <w:rFonts w:ascii="Arial" w:cs="Arial" w:eastAsia="Arial" w:hAnsi="Arial"/>
                <w:sz w:val="18"/>
                <w:szCs w:val="18"/>
                <w:color w:val="auto"/>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Restructuring Activities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w w:val="95"/>
              </w:rPr>
              <w:t>Total Restructuring Expenses</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0"/>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gridSpan w:val="3"/>
          </w:tcPr>
          <w:p>
            <w:pPr>
              <w:ind w:left="120"/>
              <w:spacing w:after="0"/>
              <w:rPr>
                <w:sz w:val="20"/>
                <w:szCs w:val="20"/>
                <w:color w:val="auto"/>
              </w:rPr>
            </w:pPr>
            <w:r>
              <w:rPr>
                <w:rFonts w:ascii="Arial" w:cs="Arial" w:eastAsia="Arial" w:hAnsi="Arial"/>
                <w:sz w:val="14"/>
                <w:szCs w:val="14"/>
                <w:b w:val="1"/>
                <w:bCs w:val="1"/>
                <w:color w:val="auto"/>
              </w:rPr>
              <w:t>Six Months Ended June 30, 2023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 2022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6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4"/>
              </w:rPr>
              <w:t>Progressive</w:t>
            </w:r>
          </w:p>
        </w:tc>
        <w:tc>
          <w:tcPr>
            <w:tcW w:w="280" w:type="dxa"/>
            <w:vAlign w:val="bottom"/>
          </w:tcPr>
          <w:p>
            <w:pPr>
              <w:spacing w:after="0"/>
              <w:rPr>
                <w:sz w:val="11"/>
                <w:szCs w:val="11"/>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Vive</w:t>
            </w:r>
          </w:p>
        </w:tc>
        <w:tc>
          <w:tcPr>
            <w:tcW w:w="260" w:type="dxa"/>
            <w:vAlign w:val="bottom"/>
          </w:tcPr>
          <w:p>
            <w:pPr>
              <w:spacing w:after="0"/>
              <w:rPr>
                <w:sz w:val="11"/>
                <w:szCs w:val="11"/>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w w:val="91"/>
              </w:rPr>
              <w:t>Right-of-Use Asset Impairment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w:t>
            </w:r>
          </w:p>
        </w:tc>
        <w:tc>
          <w:tcPr>
            <w:tcW w:w="110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9"/>
                <w:szCs w:val="19"/>
                <w:color w:val="auto"/>
              </w:rPr>
            </w:pPr>
          </w:p>
        </w:tc>
        <w:tc>
          <w:tcPr>
            <w:tcW w:w="1140" w:type="dxa"/>
            <w:vAlign w:val="bottom"/>
          </w:tcPr>
          <w:p>
            <w:pPr>
              <w:ind w:left="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Restructuring Activities</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w w:val="95"/>
              </w:rPr>
              <w:t>Total Restructuring Expenses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00" w:type="dxa"/>
            <w:vAlign w:val="bottom"/>
          </w:tcPr>
          <w:p>
            <w:pPr>
              <w:ind w:left="620"/>
              <w:spacing w:after="0"/>
              <w:rPr>
                <w:sz w:val="20"/>
                <w:szCs w:val="20"/>
                <w:color w:val="auto"/>
              </w:rPr>
            </w:pPr>
            <w:r>
              <w:rPr>
                <w:rFonts w:ascii="Arial" w:cs="Arial" w:eastAsia="Arial" w:hAnsi="Arial"/>
                <w:sz w:val="18"/>
                <w:szCs w:val="18"/>
                <w:color w:val="auto"/>
              </w:rPr>
              <w:t>— $</w:t>
            </w:r>
          </w:p>
        </w:tc>
        <w:tc>
          <w:tcPr>
            <w:tcW w:w="1100" w:type="dxa"/>
            <w:vAlign w:val="bottom"/>
          </w:tcPr>
          <w:p>
            <w:pPr>
              <w:ind w:left="60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1,720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3,673</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ind w:left="62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accrual and payment activity related to the restructuring program for the six months ended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Other Restructuring</w:t>
            </w:r>
          </w:p>
        </w:tc>
        <w:tc>
          <w:tcPr>
            <w:tcW w:w="440" w:type="dxa"/>
            <w:vAlign w:val="bottom"/>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Activities</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3,061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8"/>
              </w:rPr>
              <w:t>3,103</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Charges</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center"/>
              <w:ind w:left="654"/>
              <w:spacing w:after="0"/>
              <w:rPr>
                <w:sz w:val="20"/>
                <w:szCs w:val="20"/>
                <w:color w:val="auto"/>
              </w:rPr>
            </w:pPr>
            <w:r>
              <w:rPr>
                <w:rFonts w:ascii="Arial" w:cs="Arial" w:eastAsia="Arial" w:hAnsi="Arial"/>
                <w:sz w:val="18"/>
                <w:szCs w:val="18"/>
                <w:color w:val="auto"/>
                <w:w w:val="88"/>
              </w:rPr>
              <w:t>1,723</w:t>
            </w:r>
          </w:p>
        </w:tc>
        <w:tc>
          <w:tcPr>
            <w:tcW w:w="220" w:type="dxa"/>
            <w:vAlign w:val="bottom"/>
          </w:tcPr>
          <w:p>
            <w:pPr>
              <w:spacing w:after="0"/>
              <w:rPr>
                <w:sz w:val="19"/>
                <w:szCs w:val="19"/>
                <w:color w:val="auto"/>
              </w:rPr>
            </w:pPr>
          </w:p>
        </w:tc>
        <w:tc>
          <w:tcPr>
            <w:tcW w:w="1660" w:type="dxa"/>
            <w:vAlign w:val="bottom"/>
          </w:tcPr>
          <w:p>
            <w:pPr>
              <w:ind w:left="13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240" w:type="dxa"/>
            <w:vAlign w:val="bottom"/>
          </w:tcPr>
          <w:p>
            <w:pPr>
              <w:jc w:val="center"/>
              <w:ind w:left="594"/>
              <w:spacing w:after="0"/>
              <w:rPr>
                <w:sz w:val="20"/>
                <w:szCs w:val="20"/>
                <w:color w:val="auto"/>
              </w:rPr>
            </w:pPr>
            <w:r>
              <w:rPr>
                <w:rFonts w:ascii="Arial" w:cs="Arial" w:eastAsia="Arial" w:hAnsi="Arial"/>
                <w:sz w:val="18"/>
                <w:szCs w:val="18"/>
                <w:color w:val="auto"/>
                <w:w w:val="88"/>
              </w:rPr>
              <w:t>1,720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(1,564)</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4"/>
              <w:spacing w:after="0"/>
              <w:rPr>
                <w:sz w:val="20"/>
                <w:szCs w:val="20"/>
                <w:color w:val="auto"/>
              </w:rPr>
            </w:pPr>
            <w:r>
              <w:rPr>
                <w:rFonts w:ascii="Arial" w:cs="Arial" w:eastAsia="Arial" w:hAnsi="Arial"/>
                <w:sz w:val="18"/>
                <w:szCs w:val="18"/>
                <w:color w:val="auto"/>
                <w:w w:val="94"/>
              </w:rPr>
              <w:t>(1,568)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left="654"/>
              <w:spacing w:after="0"/>
              <w:rPr>
                <w:sz w:val="20"/>
                <w:szCs w:val="20"/>
                <w:color w:val="auto"/>
              </w:rPr>
            </w:pPr>
            <w:r>
              <w:rPr>
                <w:rFonts w:ascii="Arial" w:cs="Arial" w:eastAsia="Arial" w:hAnsi="Arial"/>
                <w:sz w:val="18"/>
                <w:szCs w:val="18"/>
                <w:color w:val="auto"/>
                <w:w w:val="88"/>
              </w:rPr>
              <w:t>3,220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ind w:left="1360"/>
              <w:spacing w:after="0"/>
              <w:rPr>
                <w:sz w:val="20"/>
                <w:szCs w:val="20"/>
                <w:color w:val="auto"/>
              </w:rPr>
            </w:pPr>
            <w:r>
              <w:rPr>
                <w:rFonts w:ascii="Arial" w:cs="Arial" w:eastAsia="Arial" w:hAnsi="Arial"/>
                <w:sz w:val="18"/>
                <w:szCs w:val="18"/>
                <w:color w:val="auto"/>
              </w:rPr>
              <w:t>35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594"/>
              <w:spacing w:after="0"/>
              <w:rPr>
                <w:sz w:val="20"/>
                <w:szCs w:val="20"/>
                <w:color w:val="auto"/>
              </w:rPr>
            </w:pPr>
            <w:r>
              <w:rPr>
                <w:rFonts w:ascii="Arial" w:cs="Arial" w:eastAsia="Arial" w:hAnsi="Arial"/>
                <w:sz w:val="18"/>
                <w:szCs w:val="18"/>
                <w:color w:val="auto"/>
                <w:w w:val="88"/>
              </w:rPr>
              <w:t>3,255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100" w:type="dxa"/>
            <w:vAlign w:val="bottom"/>
            <w:vMerge w:val="restart"/>
          </w:tcPr>
          <w:p>
            <w:pPr>
              <w:jc w:val="right"/>
              <w:ind w:right="170"/>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38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has two reportable segments: Progressive Leasing and Vive.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w:t>
      </w:r>
    </w:p>
    <w:p>
      <w:pPr>
        <w:spacing w:after="0" w:line="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Four is an innovative BNPL company that allows shoppers to pay for merchandise through four interest-free installments. Four is not a reportable segment for the three and six month periods ended June 30, 2023 and 2022 as its financial results are not material to the Company's condensed consolidated financial results. The revenues, loss before income taxes, and assets within "other" below are primarily comprised of the operating activities of Four.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June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 2023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Three Months Ended June 30,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89"/>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1"/>
                <w:szCs w:val="11"/>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line="182"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8"/>
                <w:szCs w:val="18"/>
                <w:color w:val="auto"/>
              </w:rPr>
              <w:t>17,187</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18,007</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8"/>
                <w:szCs w:val="18"/>
                <w:color w:val="auto"/>
              </w:rPr>
              <w:t>17,518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line="222"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17,187 $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17,518 $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32" w:lineRule="exact"/>
        <w:rPr>
          <w:sz w:val="20"/>
          <w:szCs w:val="20"/>
          <w:color w:val="auto"/>
        </w:rPr>
      </w:pPr>
    </w:p>
    <w:p>
      <w:pPr>
        <w:ind w:left="80" w:hanging="72"/>
        <w:spacing w:after="0"/>
        <w:tabs>
          <w:tab w:leader="none" w:pos="8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r>
        <w:rPr>
          <w:rFonts w:ascii="Arial" w:cs="Arial" w:eastAsia="Arial" w:hAnsi="Arial"/>
          <w:sz w:val="14"/>
          <w:szCs w:val="14"/>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 June 30, 2023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 June 30, 2022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1,211,921</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1,211,921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1,324,258</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1,324,258</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line="182"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8"/>
                <w:szCs w:val="18"/>
                <w:color w:val="auto"/>
              </w:rPr>
              <w:t>34,340</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36,065</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8"/>
                <w:szCs w:val="18"/>
                <w:color w:val="auto"/>
              </w:rPr>
              <w:t>34,634</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line="222"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1,211,921</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34,340 $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1,247,986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1,324,258</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34,634 $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1,359,908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32"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r>
        <w:rPr>
          <w:rFonts w:ascii="Arial" w:cs="Arial" w:eastAsia="Arial" w:hAnsi="Arial"/>
          <w:sz w:val="14"/>
          <w:szCs w:val="14"/>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incurred various corporate overhead expenses for certain executive management, finance, treasury, tax, audit, legal, risk management, and other overhead functions during the three and six months ended June 30, 2023 and 2022. Corporate overhead expenses incurred are primarily reflected as expenses of the Progressive Leasing segment and an immaterial amount was allocated to the Vive segment and Other. The allocation of corporate overhead costs to Progressive Leasing, Vive and Other is consistent with how the chief operating decision maker analyzed performance and allocated resources among the segments of the Company during the three and six months ended June 30, 2023 and 2022. The following is a summary of earnings before income tax expense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55,422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27,383</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1,758</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 Expense</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52,014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126,473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69,464</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3,921</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 Expense</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119,601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The following is a summary of interest expense, net by segment:</w:t>
            </w:r>
          </w:p>
        </w:tc>
        <w:tc>
          <w:tcPr>
            <w:tcW w:w="1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Progressive Leasing</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9,506</w:t>
            </w:r>
          </w:p>
        </w:tc>
        <w:tc>
          <w:tcPr>
            <w:tcW w:w="110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9,573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18,913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19,101</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8"/>
                <w:szCs w:val="18"/>
                <w:color w:val="auto"/>
              </w:rPr>
              <w:t>Vive</w:t>
            </w:r>
          </w:p>
        </w:tc>
        <w:tc>
          <w:tcPr>
            <w:tcW w:w="46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Progressive Leasing</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10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8"/>
                <w:szCs w:val="18"/>
                <w:color w:val="auto"/>
              </w:rPr>
              <w:t>Vive</w:t>
            </w:r>
          </w:p>
        </w:tc>
        <w:tc>
          <w:tcPr>
            <w:tcW w:w="46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7,283</w:t>
            </w:r>
          </w:p>
        </w:tc>
        <w:tc>
          <w:tcPr>
            <w:tcW w:w="110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9,608</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The following is a summary of total assets by segment:</w:t>
            </w: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4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24"/>
                <w:szCs w:val="24"/>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5"/>
        </w:trPr>
        <w:tc>
          <w:tcPr>
            <w:tcW w:w="4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1,300,629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1,309,487</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149,005</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155,846</w:t>
            </w: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33,423</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1,483,057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274"/>
              <w:spacing w:after="0"/>
              <w:rPr>
                <w:sz w:val="20"/>
                <w:szCs w:val="20"/>
                <w:color w:val="auto"/>
              </w:rPr>
            </w:pPr>
            <w:r>
              <w:rPr>
                <w:rFonts w:ascii="Arial" w:cs="Arial" w:eastAsia="Arial" w:hAnsi="Arial"/>
                <w:sz w:val="18"/>
                <w:szCs w:val="18"/>
                <w:color w:val="auto"/>
              </w:rPr>
              <w:t>21</w:t>
            </w:r>
          </w:p>
        </w:tc>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ind w:right="360"/>
        <w:spacing w:after="0" w:line="287" w:lineRule="auto"/>
        <w:rPr>
          <w:sz w:val="20"/>
          <w:szCs w:val="20"/>
          <w:color w:val="auto"/>
        </w:rPr>
      </w:pPr>
      <w:r>
        <w:rPr>
          <w:rFonts w:ascii="Arial" w:cs="Arial" w:eastAsia="Arial" w:hAnsi="Arial"/>
          <w:sz w:val="16"/>
          <w:szCs w:val="16"/>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spacing w:after="0" w:line="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2022 (the "2022 Annual Report").</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as of and for the three and six months ended June 30, 2023 and 2022,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2022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Progressive Leasing segment provides consumers with lease-purchase solutions through its point-of-sale partner locations and e-commerce website partners (collectively, "POS partners").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6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expected to be a reportable segment in 2023 as its financial results are not expected to be material to the Company's consolidated financial results in 2023. Four's financial results are reported within "Other" for segment reporting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Business Environment</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continues to operate in a challenging macroeconomic environment. We believe the rapid increase in the rate of inflation during 2022, and higher year-over-year inflation continuing in 2023, particularly in housing, food, and gas costs, has disproportionately negatively affected the customers we serve and has resulted in an unfavorable impact on our lease portfolio performance and Gross Merchandise Volume ("GMV") during 2022 and the first half of 2023. While the inflation rate for the second quarter of 2023 was well below the peak levels it reached during the same quarter of 2022, we believe inflation continues to present a challenge to our customers. Customer payment delinquencies and uncollectible renewal payments experienced within our Progressive Leasing segment during much of 2022 significantly exceeded levels experienced during pre-pandemic periods. In response to increasing customer delinquencies and higher write-offs, Progressive Leasing tightened its lease decisioning several times during 2022, resulting in fewer lease approvals and an adverse impact on GMV in 2022 and the first half of 2023. Levels of customer payment delinquencies and uncollectible renewal payments for leases originated after Progressive Leasing further tightened its lease decisioning in mid-2022 improved to levels consistent with pre-pandemic lease portfolio performance. However, any meaningful increase in unemployment rates and/or a recession in the United States may</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result in increasing levels of customer payment delinquencies and related write-offs, which would result in an unfavorable impact on our performance.</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significant increase in inflation and interest rates,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on a number of cost reduction initiatives during 2022 and the first half of 2023 to drive efficiencies and right-size variable costs, while attempting to minimize the negative impact on growth-related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financial highlights from the three months ended June 30, 2023:</w:t>
      </w:r>
    </w:p>
    <w:p>
      <w:pPr>
        <w:spacing w:after="0" w:line="104" w:lineRule="exact"/>
        <w:rPr>
          <w:sz w:val="20"/>
          <w:szCs w:val="20"/>
          <w:color w:val="auto"/>
        </w:rPr>
      </w:pPr>
    </w:p>
    <w:p>
      <w:pPr>
        <w:ind w:left="660" w:right="120" w:hanging="328"/>
        <w:spacing w:after="0" w:line="293" w:lineRule="auto"/>
        <w:tabs>
          <w:tab w:leader="none" w:pos="66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6"/>
          <w:szCs w:val="16"/>
          <w:color w:val="auto"/>
        </w:rPr>
        <w:t>We reported revenues of $592.8 million, a decrease of 8.7% compared to the second quarter of 2022. The decrease in revenues was primarily due to a 13.9% decrease in consolidated GMV for the three months ended June 30, 2023, as compared to the same period in the prior year, due to tightened lease decisioning by Progressive Leasing in mid-2022, and decreased customer demand for many of the products offered by our POS partners. Revenues were also impacted by a smaller lease portfolio at the beginning of the quarter as compared to the second quarter of 2022, and a decline in the number of customers electing to exercise early lease buyouts when compared to the same period in the prior year. The decline in revenues was partially offset by improved customer payment activity in the second quarter of 2023, as compared to the second quarter of 2022.</w:t>
      </w:r>
    </w:p>
    <w:p>
      <w:pPr>
        <w:spacing w:after="0" w:line="29" w:lineRule="exact"/>
        <w:rPr>
          <w:rFonts w:ascii="Arial" w:cs="Arial" w:eastAsia="Arial" w:hAnsi="Arial"/>
          <w:sz w:val="13"/>
          <w:szCs w:val="13"/>
          <w:b w:val="1"/>
          <w:bCs w:val="1"/>
          <w:i w:val="1"/>
          <w:iCs w:val="1"/>
          <w:color w:val="auto"/>
        </w:rPr>
      </w:pPr>
    </w:p>
    <w:p>
      <w:pPr>
        <w:ind w:left="660" w:right="60" w:hanging="328"/>
        <w:spacing w:after="0" w:line="257" w:lineRule="auto"/>
        <w:tabs>
          <w:tab w:leader="none" w:pos="66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8"/>
          <w:szCs w:val="18"/>
          <w:color w:val="auto"/>
        </w:rPr>
        <w:t>GMV decreased by $72.8 million for Progressive Leasing and $7.2 million for Vive in the second quarter of 2023, compared to the same period in the prior year. These decreases were due to tighter lease and loan decisioning, resulting in fewer lease and loan originations, and the rate of inflation eroding customers' disposable incomes and reducing their demand for many of the goods sold by our POS partners. These negative impacts were partially offset by GMV from our other operations, which increased by $3.2 million primarily due to an increase in Four loan originations in the second quarter of 2023 compared to the second quarter of 2022.</w:t>
      </w:r>
    </w:p>
    <w:p>
      <w:pPr>
        <w:spacing w:after="0" w:line="66" w:lineRule="exact"/>
        <w:rPr>
          <w:rFonts w:ascii="Arial" w:cs="Arial" w:eastAsia="Arial" w:hAnsi="Arial"/>
          <w:sz w:val="14"/>
          <w:szCs w:val="14"/>
          <w:b w:val="1"/>
          <w:bCs w:val="1"/>
          <w:i w:val="1"/>
          <w:iCs w:val="1"/>
          <w:color w:val="auto"/>
        </w:rPr>
      </w:pPr>
    </w:p>
    <w:p>
      <w:pPr>
        <w:ind w:left="660" w:right="20" w:hanging="328"/>
        <w:spacing w:after="0" w:line="259" w:lineRule="auto"/>
        <w:tabs>
          <w:tab w:leader="none" w:pos="66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8"/>
          <w:szCs w:val="18"/>
          <w:color w:val="auto"/>
        </w:rPr>
        <w:t>Earnings before income taxes increased to $52.0 million compared to $27.3 million in the same period in 2022. The increase was primarily driven by improved customer payment activity, fewer customers electing early lease buyouts, lower restructuring costs, and an increase in interest income on the Company's cash and cash equivalent deposits resulting from higher interest rates, partially offset by higher stock-based compensation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Gross Merchandise Volume</w:t>
      </w:r>
      <w:r>
        <w:rPr>
          <w:rFonts w:ascii="Arial" w:cs="Arial" w:eastAsia="Arial" w:hAnsi="Arial"/>
          <w:sz w:val="18"/>
          <w:szCs w:val="18"/>
          <w:color w:val="auto"/>
        </w:rPr>
        <w:t>. We believe GMV is a key performance indicator of our Progressive Leasing and Vive segments, as it provides the total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GMV for the Company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150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and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07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Progressive Leasing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421,220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494,003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(72,783)</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(14.7)%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Vive</w:t>
            </w:r>
          </w:p>
        </w:tc>
        <w:tc>
          <w:tcPr>
            <w:tcW w:w="36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39,850</w:t>
            </w:r>
          </w:p>
        </w:tc>
        <w:tc>
          <w:tcPr>
            <w:tcW w:w="44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47,003</w:t>
            </w:r>
          </w:p>
        </w:tc>
        <w:tc>
          <w:tcPr>
            <w:tcW w:w="440" w:type="dxa"/>
            <w:vAlign w:val="bottom"/>
          </w:tcPr>
          <w:p>
            <w:pPr>
              <w:spacing w:after="0"/>
              <w:rPr>
                <w:sz w:val="19"/>
                <w:szCs w:val="19"/>
                <w:color w:val="auto"/>
              </w:rPr>
            </w:pPr>
          </w:p>
        </w:tc>
        <w:tc>
          <w:tcPr>
            <w:tcW w:w="1500" w:type="dxa"/>
            <w:vAlign w:val="bottom"/>
          </w:tcPr>
          <w:p>
            <w:pPr>
              <w:jc w:val="right"/>
              <w:ind w:right="496"/>
              <w:spacing w:after="0"/>
              <w:rPr>
                <w:sz w:val="20"/>
                <w:szCs w:val="20"/>
                <w:color w:val="auto"/>
              </w:rPr>
            </w:pPr>
            <w:r>
              <w:rPr>
                <w:rFonts w:ascii="Arial" w:cs="Arial" w:eastAsia="Arial" w:hAnsi="Arial"/>
                <w:sz w:val="18"/>
                <w:szCs w:val="18"/>
                <w:color w:val="auto"/>
              </w:rPr>
              <w:t>(7,153)</w:t>
            </w:r>
          </w:p>
        </w:tc>
        <w:tc>
          <w:tcPr>
            <w:tcW w:w="1000" w:type="dxa"/>
            <w:vAlign w:val="bottom"/>
          </w:tcPr>
          <w:p>
            <w:pPr>
              <w:ind w:left="4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14,600</w:t>
            </w:r>
          </w:p>
        </w:tc>
        <w:tc>
          <w:tcPr>
            <w:tcW w:w="4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11,394</w:t>
            </w: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3,206</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Total GMV</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475,670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552,400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(76,730)</w:t>
            </w: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(13.9)%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decrease in Progressive Leasing's and Vive's GMV was primarily due to our tighter lease and loan decisioning in mid 2022 to address the unfavorable economic conditions that were present in 2022, resulting in fewer lease and loan approvals, and also due to the rate of inflation eroding customers' disposable incomes and their demand for many of the goods sold by our POS partners. We believe these factors have unfavorably impacted the generation of new leases and loans. E-commerce channels generated 15.0% of Progressive Leasing's GMV in the second quarter of 2023 compared to 15.6% in the second quarter of 2022. The decrease in total GMV was partially offset by an increase in GMV from our other operations, primarily due to an increase in Four loan originations.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3" w:name="page24"/>
    <w:bookmarkEnd w:id="23"/>
    <w:p>
      <w:pPr>
        <w:ind w:right="100"/>
        <w:spacing w:after="0" w:line="286" w:lineRule="auto"/>
        <w:rPr>
          <w:sz w:val="20"/>
          <w:szCs w:val="20"/>
          <w:color w:val="auto"/>
        </w:rPr>
      </w:pPr>
      <w:r>
        <w:rPr>
          <w:rFonts w:ascii="Arial" w:cs="Arial" w:eastAsia="Arial" w:hAnsi="Arial"/>
          <w:sz w:val="17"/>
          <w:szCs w:val="17"/>
          <w:i w:val="1"/>
          <w:iCs w:val="1"/>
          <w:color w:val="auto"/>
        </w:rPr>
        <w:t xml:space="preserve">Active Customer Count. </w:t>
      </w:r>
      <w:r>
        <w:rPr>
          <w:rFonts w:ascii="Arial" w:cs="Arial" w:eastAsia="Arial" w:hAnsi="Arial"/>
          <w:sz w:val="17"/>
          <w:szCs w:val="17"/>
          <w:color w:val="auto"/>
        </w:rPr>
        <w:t>Our active customer count represents the total number of customers that have an active lease agreement with Progressive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or an active loan with Vive or Four. The following table presents our consolidated active customer count, which includes an immaterial number of customers that have both an active lease agreement and loan agreement, for the Company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(Unaudited and In Thousands)</w:t>
            </w:r>
          </w:p>
        </w:tc>
        <w:tc>
          <w:tcPr>
            <w:tcW w:w="20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Active Customer Count:</w:t>
            </w:r>
          </w:p>
        </w:tc>
        <w:tc>
          <w:tcPr>
            <w:tcW w:w="20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Progressive Leasing</w:t>
            </w:r>
          </w:p>
        </w:tc>
        <w:tc>
          <w:tcPr>
            <w:tcW w:w="2000" w:type="dxa"/>
            <w:vAlign w:val="bottom"/>
          </w:tcPr>
          <w:p>
            <w:pPr>
              <w:jc w:val="right"/>
              <w:ind w:right="354"/>
              <w:spacing w:after="0"/>
              <w:rPr>
                <w:sz w:val="20"/>
                <w:szCs w:val="20"/>
                <w:color w:val="auto"/>
              </w:rPr>
            </w:pPr>
            <w:r>
              <w:rPr>
                <w:rFonts w:ascii="Arial" w:cs="Arial" w:eastAsia="Arial" w:hAnsi="Arial"/>
                <w:sz w:val="18"/>
                <w:szCs w:val="18"/>
                <w:color w:val="auto"/>
              </w:rPr>
              <w:t>843</w:t>
            </w:r>
          </w:p>
        </w:tc>
        <w:tc>
          <w:tcPr>
            <w:tcW w:w="140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Vive</w:t>
            </w:r>
          </w:p>
        </w:tc>
        <w:tc>
          <w:tcPr>
            <w:tcW w:w="20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Active Customer Count</w:t>
            </w:r>
          </w:p>
        </w:tc>
        <w:tc>
          <w:tcPr>
            <w:tcW w:w="20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956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the number of Progressive Leasing customers was primarily due to a decrease in customer demand for the types of merchandise typically purchased through our lease-to-own solutions and the tightening of our lease decisioning in 2022 to address the unfavorable economic conditions that were driving higher customer payment delinquencies and uncollectible renewal payments during much of 2022. The number of Vive and Other customers remained consistent compared to the second quarter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Earnings Before Income Taxes</w:t>
      </w:r>
    </w:p>
    <w:p>
      <w:pPr>
        <w:spacing w:after="0" w:line="9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this MD&amp;A section, we review our condensed consolidated results. For the three and six months ended June 30, 2023 and the comparable prior year period, some of the key revenue, cost and expense items that affected earnings before income taxes were as follows:</w:t>
      </w:r>
    </w:p>
    <w:p>
      <w:pPr>
        <w:spacing w:after="0" w:line="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We separate our total revenues into two components: (i) lease revenues and fees and (ii) interest and fees on loans receivable. Lease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primarily reflects the expense associated with depreciating merchandise leased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by Progressive Leasing.</w:t>
      </w:r>
    </w:p>
    <w:p>
      <w:pPr>
        <w:spacing w:after="0" w:line="3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Provision for Lease Merchandise Write-offs. </w:t>
      </w:r>
      <w:r>
        <w:rPr>
          <w:rFonts w:ascii="Arial" w:cs="Arial" w:eastAsia="Arial" w:hAnsi="Arial"/>
          <w:sz w:val="17"/>
          <w:szCs w:val="17"/>
          <w:color w:val="auto"/>
        </w:rPr>
        <w:t>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Operating expenses include personnel costs, stock-based compensation expense, occupancy costs, advertising,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sales acquisition expense, computer software expense, bank service charges, the provision for loan losses, fixed asset depreciation expense, intangible asset amortization, and restructuring, among other expenses.</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consists of interest incurred on the Company's Senior Notes and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Facility"). Interest expense is presented net of interest income earned on the Company's deposits in cash and cash equivalents.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 Three months ended June 30,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574,839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631,344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3"/>
              <w:spacing w:after="0"/>
              <w:rPr>
                <w:sz w:val="20"/>
                <w:szCs w:val="20"/>
                <w:color w:val="auto"/>
              </w:rPr>
            </w:pPr>
            <w:r>
              <w:rPr>
                <w:rFonts w:ascii="Arial" w:cs="Arial" w:eastAsia="Arial" w:hAnsi="Arial"/>
                <w:sz w:val="18"/>
                <w:szCs w:val="18"/>
                <w:color w:val="auto"/>
              </w:rPr>
              <w:t>(56,505)</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18,007</w:t>
            </w: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18,100</w:t>
            </w:r>
          </w:p>
        </w:tc>
        <w:tc>
          <w:tcPr>
            <w:tcW w:w="4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(93)</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592,846</w:t>
            </w:r>
          </w:p>
        </w:tc>
        <w:tc>
          <w:tcPr>
            <w:tcW w:w="4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649,444</w:t>
            </w:r>
          </w:p>
        </w:tc>
        <w:tc>
          <w:tcPr>
            <w:tcW w:w="420" w:type="dxa"/>
            <w:vAlign w:val="bottom"/>
          </w:tcPr>
          <w:p>
            <w:pPr>
              <w:spacing w:after="0"/>
              <w:rPr>
                <w:sz w:val="19"/>
                <w:szCs w:val="19"/>
                <w:color w:val="auto"/>
              </w:rPr>
            </w:pPr>
          </w:p>
        </w:tc>
        <w:tc>
          <w:tcPr>
            <w:tcW w:w="1500" w:type="dxa"/>
            <w:vAlign w:val="bottom"/>
          </w:tcPr>
          <w:p>
            <w:pPr>
              <w:jc w:val="right"/>
              <w:ind w:right="513"/>
              <w:spacing w:after="0"/>
              <w:rPr>
                <w:sz w:val="20"/>
                <w:szCs w:val="20"/>
                <w:color w:val="auto"/>
              </w:rPr>
            </w:pPr>
            <w:r>
              <w:rPr>
                <w:rFonts w:ascii="Arial" w:cs="Arial" w:eastAsia="Arial" w:hAnsi="Arial"/>
                <w:sz w:val="18"/>
                <w:szCs w:val="18"/>
                <w:color w:val="auto"/>
              </w:rPr>
              <w:t>(56,598)</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384,874</w:t>
            </w:r>
          </w:p>
        </w:tc>
        <w:tc>
          <w:tcPr>
            <w:tcW w:w="4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439,113</w:t>
            </w:r>
          </w:p>
        </w:tc>
        <w:tc>
          <w:tcPr>
            <w:tcW w:w="420" w:type="dxa"/>
            <w:vAlign w:val="bottom"/>
          </w:tcPr>
          <w:p>
            <w:pPr>
              <w:spacing w:after="0"/>
              <w:rPr>
                <w:sz w:val="19"/>
                <w:szCs w:val="19"/>
                <w:color w:val="auto"/>
              </w:rPr>
            </w:pPr>
          </w:p>
        </w:tc>
        <w:tc>
          <w:tcPr>
            <w:tcW w:w="1500" w:type="dxa"/>
            <w:vAlign w:val="bottom"/>
          </w:tcPr>
          <w:p>
            <w:pPr>
              <w:jc w:val="right"/>
              <w:ind w:right="513"/>
              <w:spacing w:after="0"/>
              <w:rPr>
                <w:sz w:val="20"/>
                <w:szCs w:val="20"/>
                <w:color w:val="auto"/>
              </w:rPr>
            </w:pPr>
            <w:r>
              <w:rPr>
                <w:rFonts w:ascii="Arial" w:cs="Arial" w:eastAsia="Arial" w:hAnsi="Arial"/>
                <w:sz w:val="18"/>
                <w:szCs w:val="18"/>
                <w:color w:val="auto"/>
              </w:rPr>
              <w:t>(54,239)</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40,965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61,788</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(20,823)</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107,710</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111,606</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(3,896)</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533,549</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612,507</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(78,958)</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59,297</w:t>
            </w:r>
          </w:p>
        </w:tc>
        <w:tc>
          <w:tcPr>
            <w:tcW w:w="44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36,937</w:t>
            </w:r>
          </w:p>
        </w:tc>
        <w:tc>
          <w:tcPr>
            <w:tcW w:w="420" w:type="dxa"/>
            <w:vAlign w:val="bottom"/>
          </w:tcPr>
          <w:p>
            <w:pPr>
              <w:spacing w:after="0"/>
              <w:rPr>
                <w:sz w:val="20"/>
                <w:szCs w:val="20"/>
                <w:color w:val="auto"/>
              </w:rPr>
            </w:pP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22,360</w:t>
            </w:r>
          </w:p>
        </w:tc>
        <w:tc>
          <w:tcPr>
            <w:tcW w:w="980" w:type="dxa"/>
            <w:vAlign w:val="bottom"/>
          </w:tcPr>
          <w:p>
            <w:pPr>
              <w:ind w:left="4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4"/>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4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2,325</w:t>
            </w:r>
          </w:p>
        </w:tc>
        <w:tc>
          <w:tcPr>
            <w:tcW w:w="9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52,014</w:t>
            </w:r>
          </w:p>
        </w:tc>
        <w:tc>
          <w:tcPr>
            <w:tcW w:w="4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27,329</w:t>
            </w:r>
          </w:p>
        </w:tc>
        <w:tc>
          <w:tcPr>
            <w:tcW w:w="420" w:type="dxa"/>
            <w:vAlign w:val="bottom"/>
          </w:tcPr>
          <w:p>
            <w:pPr>
              <w:spacing w:after="0"/>
              <w:rPr>
                <w:sz w:val="19"/>
                <w:szCs w:val="19"/>
                <w:color w:val="auto"/>
              </w:rPr>
            </w:pP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24,685</w:t>
            </w:r>
          </w:p>
        </w:tc>
        <w:tc>
          <w:tcPr>
            <w:tcW w:w="980" w:type="dxa"/>
            <w:vAlign w:val="bottom"/>
          </w:tcPr>
          <w:p>
            <w:pPr>
              <w:ind w:left="4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14,796</w:t>
            </w: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7,845</w:t>
            </w:r>
          </w:p>
        </w:tc>
        <w:tc>
          <w:tcPr>
            <w:tcW w:w="4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6,951</w:t>
            </w:r>
          </w:p>
        </w:tc>
        <w:tc>
          <w:tcPr>
            <w:tcW w:w="9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37,218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19,484</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17,734</w:t>
            </w: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9"/>
              </w:rPr>
              <w:t>91.0 %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 2023</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 2022</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0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0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89"/>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8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80" w:type="dxa"/>
            <w:vAlign w:val="bottom"/>
            <w:vMerge w:val="restart"/>
          </w:tcPr>
          <w:p>
            <w:pPr>
              <w:jc w:val="right"/>
              <w:ind w:right="235"/>
              <w:spacing w:after="0"/>
              <w:rPr>
                <w:sz w:val="20"/>
                <w:szCs w:val="20"/>
                <w:color w:val="auto"/>
              </w:rPr>
            </w:pPr>
            <w:r>
              <w:rPr>
                <w:rFonts w:ascii="Arial" w:cs="Arial" w:eastAsia="Arial" w:hAnsi="Arial"/>
                <w:sz w:val="18"/>
                <w:szCs w:val="18"/>
                <w:color w:val="auto"/>
              </w:rPr>
              <w:t>17,187</w:t>
            </w:r>
          </w:p>
        </w:tc>
        <w:tc>
          <w:tcPr>
            <w:tcW w:w="860" w:type="dxa"/>
            <w:vAlign w:val="bottom"/>
            <w:vMerge w:val="restart"/>
          </w:tcPr>
          <w:p>
            <w:pPr>
              <w:jc w:val="right"/>
              <w:ind w:right="15"/>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18,007</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ind w:right="215"/>
              <w:spacing w:after="0"/>
              <w:rPr>
                <w:sz w:val="20"/>
                <w:szCs w:val="20"/>
                <w:color w:val="auto"/>
              </w:rPr>
            </w:pPr>
            <w:r>
              <w:rPr>
                <w:rFonts w:ascii="Arial" w:cs="Arial" w:eastAsia="Arial" w:hAnsi="Arial"/>
                <w:sz w:val="18"/>
                <w:szCs w:val="18"/>
                <w:color w:val="auto"/>
              </w:rPr>
              <w:t>17,518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574,839</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17,187 $</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631,344</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17,518 $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649,444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decrease in Progressive Leasing revenues was primarily due to a 14.7% decrease in Progressive Leasing's GMV for the three months ended June 30, 2023, as compared to the same period in the prior year, due to tightened lease decisioning beginning in mid-2022, and decreased customer demand for many of the products offered by our POS partners. Revenues were also impacted by a smaller lease portfolio at the beginning of the quarter as compared to the second quarter of 2022, and a decline in the number of customers electing to exercise early lease buyouts when compared to the same period in the prior year. The decline in revenues was partially offset by improved customer payment activity in the second quarter of 2023, as compared to the second quarter of 2022. Vive and Other revenues remained relatively flat as compared to the second quarter of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second quarter of 2023 as compared to the second quarter of 2022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49,282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(2,430)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6,845</w:t>
            </w:r>
          </w:p>
        </w:tc>
        <w:tc>
          <w:tcPr>
            <w:tcW w:w="4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2,417</w:t>
            </w:r>
          </w:p>
        </w:tc>
        <w:tc>
          <w:tcPr>
            <w:tcW w:w="440" w:type="dxa"/>
            <w:vAlign w:val="bottom"/>
          </w:tcPr>
          <w:p>
            <w:pPr>
              <w:spacing w:after="0"/>
              <w:rPr>
                <w:sz w:val="19"/>
                <w:szCs w:val="19"/>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4,428</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1,296</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(444)</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3,637</w:t>
            </w:r>
          </w:p>
        </w:tc>
        <w:tc>
          <w:tcPr>
            <w:tcW w:w="4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3,543</w:t>
            </w:r>
          </w:p>
        </w:tc>
        <w:tc>
          <w:tcPr>
            <w:tcW w:w="440" w:type="dxa"/>
            <w:vAlign w:val="bottom"/>
          </w:tcPr>
          <w:p>
            <w:pPr>
              <w:spacing w:after="0"/>
              <w:rPr>
                <w:sz w:val="19"/>
                <w:szCs w:val="19"/>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94</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7,149</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6,317</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832</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line="243"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6,726</w:t>
            </w:r>
          </w:p>
        </w:tc>
        <w:tc>
          <w:tcPr>
            <w:tcW w:w="4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7,796</w:t>
            </w:r>
          </w:p>
        </w:tc>
        <w:tc>
          <w:tcPr>
            <w:tcW w:w="440" w:type="dxa"/>
            <w:vAlign w:val="bottom"/>
          </w:tcPr>
          <w:p>
            <w:pPr>
              <w:spacing w:after="0"/>
              <w:rPr>
                <w:sz w:val="21"/>
                <w:szCs w:val="21"/>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(1,070)</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6,412</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6,522</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Bank Service Charges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2,719</w:t>
            </w:r>
          </w:p>
        </w:tc>
        <w:tc>
          <w:tcPr>
            <w:tcW w:w="4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3,082</w:t>
            </w:r>
          </w:p>
        </w:tc>
        <w:tc>
          <w:tcPr>
            <w:tcW w:w="44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(363)</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8,404</w:t>
            </w: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9,262</w:t>
            </w: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(858)</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90,040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89,961</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79</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8,778</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7,916</w:t>
            </w:r>
          </w:p>
        </w:tc>
        <w:tc>
          <w:tcPr>
            <w:tcW w:w="4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8,539</w:t>
            </w:r>
          </w:p>
        </w:tc>
        <w:tc>
          <w:tcPr>
            <w:tcW w:w="440" w:type="dxa"/>
            <w:vAlign w:val="bottom"/>
          </w:tcPr>
          <w:p>
            <w:pPr>
              <w:spacing w:after="0"/>
              <w:rPr>
                <w:sz w:val="20"/>
                <w:szCs w:val="20"/>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(623)</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963</w:t>
            </w: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4,328</w:t>
            </w: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(3,365)</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107,710</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111,606</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(3,896)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Personnel costs excludes stock-based compensation expense, which is reported separately in the operating expense table.</w:t>
      </w:r>
    </w:p>
    <w:p>
      <w:pPr>
        <w:spacing w:after="0" w:line="50" w:lineRule="exact"/>
        <w:rPr>
          <w:sz w:val="20"/>
          <w:szCs w:val="20"/>
          <w:color w:val="auto"/>
        </w:rPr>
      </w:pPr>
    </w:p>
    <w:p>
      <w:pPr>
        <w:ind w:left="80" w:right="60" w:hanging="72"/>
        <w:spacing w:after="0" w:line="273" w:lineRule="auto"/>
        <w:tabs>
          <w:tab w:leader="none" w:pos="69"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22"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spacing w:after="0" w:line="32" w:lineRule="exact"/>
        <w:rPr>
          <w:sz w:val="20"/>
          <w:szCs w:val="20"/>
          <w:color w:val="auto"/>
        </w:rPr>
      </w:pPr>
    </w:p>
    <w:p>
      <w:pPr>
        <w:ind w:left="80" w:hanging="72"/>
        <w:spacing w:after="0"/>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$78.3 million and $81.9 million during the three months ended June 30, 2023 and 2022, respectively.</w:t>
      </w:r>
    </w:p>
    <w:p>
      <w:pPr>
        <w:spacing w:after="0" w:line="16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242424"/>
        </w:rPr>
        <w:t xml:space="preserve">The decrease in personnel costs of $2.4 million was driven primarily by a decrease of $3.0 million at Progressive Leasing, attributable to its reduction in the number of employees during the second half of 2022 as part of its restructuring and cost cutting initiatives. Personnel costs attributable to Four and other strategic businesses also decreased by $0.2 million compared to </w:t>
      </w:r>
      <w:r>
        <w:rPr>
          <w:rFonts w:ascii="Arial" w:cs="Arial" w:eastAsia="Arial" w:hAnsi="Arial"/>
          <w:sz w:val="18"/>
          <w:szCs w:val="18"/>
          <w:color w:val="000000"/>
        </w:rPr>
        <w:t>the same period in 2022</w:t>
      </w:r>
      <w:r>
        <w:rPr>
          <w:rFonts w:ascii="Arial" w:cs="Arial" w:eastAsia="Arial" w:hAnsi="Arial"/>
          <w:sz w:val="18"/>
          <w:szCs w:val="18"/>
          <w:color w:val="242424"/>
        </w:rPr>
        <w:t>. These decreases were partially offset by an increase of $0.8 million at Vive.</w:t>
      </w:r>
    </w:p>
    <w:p>
      <w:pPr>
        <w:spacing w:after="0" w:line="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42424"/>
        </w:rPr>
        <w:t xml:space="preserve">Stock-based compensation increased $4.4 million compared to the same period in </w:t>
      </w:r>
      <w:r>
        <w:rPr>
          <w:rFonts w:ascii="Arial" w:cs="Arial" w:eastAsia="Arial" w:hAnsi="Arial"/>
          <w:sz w:val="18"/>
          <w:szCs w:val="18"/>
          <w:color w:val="000000"/>
        </w:rPr>
        <w:t>2022</w:t>
      </w:r>
      <w:r>
        <w:rPr>
          <w:rFonts w:ascii="Arial" w:cs="Arial" w:eastAsia="Arial" w:hAnsi="Arial"/>
          <w:sz w:val="18"/>
          <w:szCs w:val="18"/>
          <w:color w:val="242424"/>
        </w:rPr>
        <w:t xml:space="preserve">, consisting of increases of $2.3 million at Progressive Leasing, $1.9 million at Four and other strategic businesses, and $0.2 million at Vive. The increases at Progressive Leasing and Four were primarily due to the Company determining in the second quarter of 2022 that tranches of performance stock units granted earlier in </w:t>
      </w:r>
      <w:r>
        <w:rPr>
          <w:rFonts w:ascii="Arial" w:cs="Arial" w:eastAsia="Arial" w:hAnsi="Arial"/>
          <w:sz w:val="18"/>
          <w:szCs w:val="18"/>
          <w:color w:val="000000"/>
        </w:rPr>
        <w:t>2022 were</w:t>
      </w:r>
      <w:r>
        <w:rPr>
          <w:rFonts w:ascii="Arial" w:cs="Arial" w:eastAsia="Arial" w:hAnsi="Arial"/>
          <w:sz w:val="18"/>
          <w:szCs w:val="18"/>
          <w:color w:val="242424"/>
        </w:rPr>
        <w:t xml:space="preserve"> no longer probable of being earned, resulting in the reversal of stock-based compensation expense. Stock-based compensation was also impacted by increases to the estimated number of performance stock units expected to be earned from those granted in 2023, resulting in an increase of stock-based compensation expense for these awards during the second quarter of 2023.</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42424"/>
        </w:rPr>
        <w:t xml:space="preserve">Restructuring expense decreased $3.4 million due to a decline in restructuring activities during the </w:t>
      </w:r>
      <w:r>
        <w:rPr>
          <w:rFonts w:ascii="Arial" w:cs="Arial" w:eastAsia="Arial" w:hAnsi="Arial"/>
          <w:sz w:val="18"/>
          <w:szCs w:val="18"/>
          <w:color w:val="000000"/>
        </w:rPr>
        <w:t>three months ended June 30, 2023</w:t>
      </w:r>
      <w:r>
        <w:rPr>
          <w:rFonts w:ascii="Arial" w:cs="Arial" w:eastAsia="Arial" w:hAnsi="Arial"/>
          <w:sz w:val="18"/>
          <w:szCs w:val="18"/>
          <w:color w:val="242424"/>
        </w:rPr>
        <w:t xml:space="preserve"> compared to the same period in </w:t>
      </w:r>
      <w:r>
        <w:rPr>
          <w:rFonts w:ascii="Arial" w:cs="Arial" w:eastAsia="Arial" w:hAnsi="Arial"/>
          <w:sz w:val="18"/>
          <w:szCs w:val="18"/>
          <w:color w:val="000000"/>
        </w:rPr>
        <w:t>2022. For the three months ended June 30, 2023, restructuring costs were primarily related to employee severance within Progressive Leasing.</w:t>
      </w:r>
      <w:r>
        <w:rPr>
          <w:rFonts w:ascii="Arial" w:cs="Arial" w:eastAsia="Arial" w:hAnsi="Arial"/>
          <w:sz w:val="18"/>
          <w:szCs w:val="18"/>
          <w:color w:val="242424"/>
        </w:rPr>
        <w:t xml:space="preserve"> </w:t>
      </w:r>
      <w:r>
        <w:rPr>
          <w:rFonts w:ascii="Arial" w:cs="Arial" w:eastAsia="Arial" w:hAnsi="Arial"/>
          <w:sz w:val="18"/>
          <w:szCs w:val="18"/>
          <w:color w:val="000000"/>
        </w:rPr>
        <w:t>For the same period in 2022, restructuring costs included a higher amount of employee severance within Progressive Leasing, in addition to operating lease right-of-use asset impairment charges related to the relocation of the Vive corporate headquarters and a reduction of Progressive Leasing call center office space.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Depreciation of lease merchandise decreased by 12.4% during the three months ended June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2022. The decrease was primarily due to the decline in GMV resulting from Progressive Leasing's tightening of its decisioning in mid-2022. As a percentage of total lease revenues and fees, depreciation of lease merchandise decreased to 67.0% from 69.6% in the prior year quarter, primarily due to improved customer payment activity and lower early buyouts in the three months ended June 30, 2023 as compared to the same period in 2022.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right="20"/>
        <w:spacing w:after="0" w:line="254" w:lineRule="auto"/>
        <w:rPr>
          <w:sz w:val="20"/>
          <w:szCs w:val="20"/>
          <w:color w:val="auto"/>
        </w:rPr>
      </w:pPr>
      <w:r>
        <w:rPr>
          <w:rFonts w:ascii="Arial" w:cs="Arial" w:eastAsia="Arial" w:hAnsi="Arial"/>
          <w:sz w:val="18"/>
          <w:szCs w:val="18"/>
          <w:i w:val="1"/>
          <w:iCs w:val="1"/>
          <w:color w:val="auto"/>
        </w:rPr>
        <w:t>Provision for lease merchandise write-offs</w:t>
      </w:r>
      <w:r>
        <w:rPr>
          <w:rFonts w:ascii="Arial" w:cs="Arial" w:eastAsia="Arial" w:hAnsi="Arial"/>
          <w:sz w:val="18"/>
          <w:szCs w:val="18"/>
          <w:color w:val="auto"/>
        </w:rPr>
        <w:t>. The provision for lease merchandise write-offs decreased $20.8 million due to a reduction in the size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Progressive Leasing's lease portfolio during the three months ended June 30, 2023 compared to the same period in 2022. The provision for lease merchandise write-offs also decreased due to improved customer payment activity and lower write-offs in the second quarter of 2023, resulting from Progressive Leasing's tightening of its decisioning in mid-2022, as compared to the higher customer delinquencies and write-offs experienced in the second quarter of 2022. Given the significant economic uncertainty resulting from inflation, rising interest rates, the resumption of student loan repayment obligations in October 2023, and the potential effects of such developments on Progressive Leasing's POS partners, customers, and business going forward, a high level of estimation was involved in determining the allowance as of June 30, 2023. Actual lease merchandise write-offs could differ materially from the allowance for those write-offs.</w:t>
      </w:r>
    </w:p>
    <w:p>
      <w:pPr>
        <w:spacing w:after="0" w:line="5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provision for lease merchandise write-offs as a percentage of lease revenues decreased to 7.1% during the three months ended June 30, 2023 from 9.8% in the same period in 2022. The decrease in the provision was a result of improved customer payment activity and lower write-offs due to the Company tightening its lease decisioning in mid-2022.</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$2.3 million due to interest income earned on the Company's deposits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higher interest rates. The Company earned interest income of $2.4 million during the three months ended June 30, 2023 compared to an immaterial amount during the same period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interest expense and interest income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9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77"/>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417"/>
              <w:spacing w:after="0"/>
              <w:rPr>
                <w:sz w:val="20"/>
                <w:szCs w:val="20"/>
                <w:color w:val="auto"/>
              </w:rPr>
            </w:pPr>
            <w:r>
              <w:rPr>
                <w:rFonts w:ascii="Arial" w:cs="Arial" w:eastAsia="Arial" w:hAnsi="Arial"/>
                <w:sz w:val="18"/>
                <w:szCs w:val="18"/>
                <w:color w:val="auto"/>
                <w:w w:val="88"/>
              </w:rPr>
              <w:t>9,672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9,656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7"/>
              <w:spacing w:after="0"/>
              <w:rPr>
                <w:sz w:val="20"/>
                <w:szCs w:val="20"/>
                <w:color w:val="auto"/>
              </w:rPr>
            </w:pPr>
            <w:r>
              <w:rPr>
                <w:rFonts w:ascii="Arial" w:cs="Arial" w:eastAsia="Arial" w:hAnsi="Arial"/>
                <w:sz w:val="18"/>
                <w:szCs w:val="18"/>
                <w:color w:val="auto"/>
              </w:rPr>
              <w:t>16</w:t>
            </w: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2"/>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397"/>
              <w:spacing w:after="0"/>
              <w:rPr>
                <w:sz w:val="20"/>
                <w:szCs w:val="20"/>
                <w:color w:val="auto"/>
              </w:rPr>
            </w:pPr>
            <w:r>
              <w:rPr>
                <w:rFonts w:ascii="Arial" w:cs="Arial" w:eastAsia="Arial" w:hAnsi="Arial"/>
                <w:sz w:val="18"/>
                <w:szCs w:val="18"/>
                <w:color w:val="auto"/>
                <w:w w:val="94"/>
              </w:rPr>
              <w:t>(2,389)</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(2,341)</w:t>
            </w: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nmf</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88"/>
              </w:rPr>
              <w:t>7,283</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9,608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(2,325)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 expense by reportable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55,422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27,383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ind w:left="380"/>
              <w:spacing w:after="0"/>
              <w:rPr>
                <w:sz w:val="20"/>
                <w:szCs w:val="20"/>
                <w:color w:val="auto"/>
              </w:rPr>
            </w:pPr>
            <w:r>
              <w:rPr>
                <w:rFonts w:ascii="Arial" w:cs="Arial" w:eastAsia="Arial" w:hAnsi="Arial"/>
                <w:sz w:val="18"/>
                <w:szCs w:val="18"/>
                <w:color w:val="auto"/>
              </w:rPr>
              <w:t>28,039</w:t>
            </w:r>
          </w:p>
        </w:tc>
        <w:tc>
          <w:tcPr>
            <w:tcW w:w="1000" w:type="dxa"/>
            <w:vAlign w:val="bottom"/>
          </w:tcPr>
          <w:p>
            <w:pPr>
              <w:jc w:val="right"/>
              <w:spacing w:after="0"/>
              <w:rPr>
                <w:sz w:val="20"/>
                <w:szCs w:val="20"/>
                <w:color w:val="auto"/>
              </w:rPr>
            </w:pPr>
            <w:r>
              <w:rPr>
                <w:rFonts w:ascii="Arial" w:cs="Arial" w:eastAsia="Arial" w:hAnsi="Arial"/>
                <w:sz w:val="18"/>
                <w:szCs w:val="18"/>
                <w:color w:val="auto"/>
              </w:rPr>
              <w:t>102.4 %</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1,758</w:t>
            </w: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3,355</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(1,597)</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(1,757)</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52,014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27,329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24,685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before income tax expense within Other primarily relates to our Four operations. Factors impacting the change in earnings before income taxes for each reporting segment are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tax expense increased to $14.8 million for the three months ended June 30, 2023 compared to $7.8 million in the prior year comparable period due to higher earnings before income tax expense. The effective income tax rate for the three months ended June 30, 2023 was 28.4% compared to 28.7% for the same period in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 Six Months Ended June 30,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1,211,921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1,324,258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3"/>
              <w:spacing w:after="0"/>
              <w:rPr>
                <w:sz w:val="20"/>
                <w:szCs w:val="20"/>
                <w:color w:val="auto"/>
              </w:rPr>
            </w:pPr>
            <w:r>
              <w:rPr>
                <w:rFonts w:ascii="Arial" w:cs="Arial" w:eastAsia="Arial" w:hAnsi="Arial"/>
                <w:sz w:val="18"/>
                <w:szCs w:val="18"/>
                <w:color w:val="auto"/>
              </w:rPr>
              <w:t>(112,337)</w:t>
            </w: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36,065</w:t>
            </w: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35,650</w:t>
            </w:r>
          </w:p>
        </w:tc>
        <w:tc>
          <w:tcPr>
            <w:tcW w:w="4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415</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1,247,986</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1,359,908</w:t>
            </w:r>
          </w:p>
        </w:tc>
        <w:tc>
          <w:tcPr>
            <w:tcW w:w="420" w:type="dxa"/>
            <w:vAlign w:val="bottom"/>
          </w:tcPr>
          <w:p>
            <w:pPr>
              <w:spacing w:after="0"/>
              <w:rPr>
                <w:sz w:val="19"/>
                <w:szCs w:val="19"/>
                <w:color w:val="auto"/>
              </w:rPr>
            </w:pPr>
          </w:p>
        </w:tc>
        <w:tc>
          <w:tcPr>
            <w:tcW w:w="1520" w:type="dxa"/>
            <w:vAlign w:val="bottom"/>
          </w:tcPr>
          <w:p>
            <w:pPr>
              <w:jc w:val="right"/>
              <w:ind w:right="513"/>
              <w:spacing w:after="0"/>
              <w:rPr>
                <w:sz w:val="20"/>
                <w:szCs w:val="20"/>
                <w:color w:val="auto"/>
              </w:rPr>
            </w:pPr>
            <w:r>
              <w:rPr>
                <w:rFonts w:ascii="Arial" w:cs="Arial" w:eastAsia="Arial" w:hAnsi="Arial"/>
                <w:sz w:val="18"/>
                <w:szCs w:val="18"/>
                <w:color w:val="auto"/>
              </w:rPr>
              <w:t>(111,922)</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820,313</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936,124</w:t>
            </w:r>
          </w:p>
        </w:tc>
        <w:tc>
          <w:tcPr>
            <w:tcW w:w="420" w:type="dxa"/>
            <w:vAlign w:val="bottom"/>
          </w:tcPr>
          <w:p>
            <w:pPr>
              <w:spacing w:after="0"/>
              <w:rPr>
                <w:sz w:val="19"/>
                <w:szCs w:val="19"/>
                <w:color w:val="auto"/>
              </w:rPr>
            </w:pPr>
          </w:p>
        </w:tc>
        <w:tc>
          <w:tcPr>
            <w:tcW w:w="1520" w:type="dxa"/>
            <w:vAlign w:val="bottom"/>
          </w:tcPr>
          <w:p>
            <w:pPr>
              <w:jc w:val="right"/>
              <w:ind w:right="513"/>
              <w:spacing w:after="0"/>
              <w:rPr>
                <w:sz w:val="20"/>
                <w:szCs w:val="20"/>
                <w:color w:val="auto"/>
              </w:rPr>
            </w:pPr>
            <w:r>
              <w:rPr>
                <w:rFonts w:ascii="Arial" w:cs="Arial" w:eastAsia="Arial" w:hAnsi="Arial"/>
                <w:sz w:val="18"/>
                <w:szCs w:val="18"/>
                <w:color w:val="auto"/>
              </w:rPr>
              <w:t>(115,811)</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79,329</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112,118</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(32,789)</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212,969</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225,264</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(12,295)</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1,112,611</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1,273,506</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(160,895)</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135,375</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86,402</w:t>
            </w:r>
          </w:p>
        </w:tc>
        <w:tc>
          <w:tcPr>
            <w:tcW w:w="42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Arial" w:cs="Arial" w:eastAsia="Arial" w:hAnsi="Arial"/>
                <w:sz w:val="18"/>
                <w:szCs w:val="18"/>
                <w:color w:val="auto"/>
              </w:rPr>
              <w:t>48,973</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3,463</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119,601</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67,165</w:t>
            </w:r>
          </w:p>
        </w:tc>
        <w:tc>
          <w:tcPr>
            <w:tcW w:w="42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Arial" w:cs="Arial" w:eastAsia="Arial" w:hAnsi="Arial"/>
                <w:sz w:val="18"/>
                <w:szCs w:val="18"/>
                <w:color w:val="auto"/>
              </w:rPr>
              <w:t>52,436</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34,350</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20,546</w:t>
            </w: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13,804</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85,251</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46,619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38,632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82.9 %</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 June 30,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 June 30, 2022</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Vive</w:t>
            </w: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Vive</w:t>
            </w:r>
          </w:p>
        </w:tc>
        <w:tc>
          <w:tcPr>
            <w:tcW w:w="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1,211,921</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1,211,921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1,324,258</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1,324,258</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line="189" w:lineRule="exact"/>
              <w:rPr>
                <w:sz w:val="20"/>
                <w:szCs w:val="20"/>
                <w:color w:val="auto"/>
              </w:rPr>
            </w:pPr>
            <w:r>
              <w:rPr>
                <w:rFonts w:ascii="Arial" w:cs="Arial" w:eastAsia="Arial" w:hAnsi="Arial"/>
                <w:sz w:val="18"/>
                <w:szCs w:val="18"/>
                <w:color w:val="auto"/>
              </w:rPr>
              <w:t>Interest and Fees on Loans</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8"/>
                <w:szCs w:val="18"/>
                <w:color w:val="auto"/>
              </w:rPr>
              <w:t>34,340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36,065</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8"/>
                <w:szCs w:val="18"/>
                <w:color w:val="auto"/>
              </w:rPr>
              <w:t>34,634</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17"/>
        </w:trPr>
        <w:tc>
          <w:tcPr>
            <w:tcW w:w="2420" w:type="dxa"/>
            <w:vAlign w:val="bottom"/>
          </w:tcPr>
          <w:p>
            <w:pPr>
              <w:ind w:left="20"/>
              <w:spacing w:after="0"/>
              <w:rPr>
                <w:sz w:val="20"/>
                <w:szCs w:val="20"/>
                <w:color w:val="auto"/>
              </w:rPr>
            </w:pPr>
            <w:r>
              <w:rPr>
                <w:rFonts w:ascii="Arial" w:cs="Arial" w:eastAsia="Arial" w:hAnsi="Arial"/>
                <w:sz w:val="18"/>
                <w:szCs w:val="18"/>
                <w:color w:val="auto"/>
              </w:rPr>
              <w:t>Receivable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1,211,921</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34,340 $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1,324,258</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34,634 $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1,359,908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decrease in Progressive Leasing revenues was primarily due to a decrease in Progressive Leasing's GMV for the six months ended June 30, 2022, as compared to the same period in the prior year, due to tightened lease decisioning in mid-2022, and decreased customer demand for many of the products offered by our POS partners. Revenues were also impacted by a smaller lease portfolio at the beginning of the period as compared to the same period in the prior year, and a decline in the number of customers electing to exercise early lease buyouts during the six months ended June 30, 2023, as compared to the same period in 2022. The decline in revenues was partially offset by improved customer payment activity in the first half of 2023, as compared to the first half of 2022. Vive revenues remained relatively flat as compared to the six months ended June 30, 2022 and the increase in "Other" revenue was primarily driven by strong GMV growth within our Four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six months ended June 30, 2023 as compared to the six months ended June 30, 2022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w:t>
            </w: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93,913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102,867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(8,954)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12,260</w:t>
            </w:r>
          </w:p>
        </w:tc>
        <w:tc>
          <w:tcPr>
            <w:tcW w:w="4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9,040</w:t>
            </w:r>
          </w:p>
        </w:tc>
        <w:tc>
          <w:tcPr>
            <w:tcW w:w="460" w:type="dxa"/>
            <w:vAlign w:val="bottom"/>
          </w:tcPr>
          <w:p>
            <w:pPr>
              <w:spacing w:after="0"/>
              <w:rPr>
                <w:sz w:val="20"/>
                <w:szCs w:val="20"/>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3,220</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35.6</w:t>
            </w:r>
          </w:p>
        </w:tc>
      </w:tr>
      <w:tr>
        <w:trPr>
          <w:trHeight w:val="23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(665)</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6,959</w:t>
            </w:r>
          </w:p>
        </w:tc>
        <w:tc>
          <w:tcPr>
            <w:tcW w:w="4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8,047</w:t>
            </w:r>
          </w:p>
        </w:tc>
        <w:tc>
          <w:tcPr>
            <w:tcW w:w="46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(1,088)</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(13.5)</w:t>
            </w: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11,706</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11,772</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(66)</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r>
      <w:tr>
        <w:trPr>
          <w:trHeight w:val="229"/>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13,972</w:t>
            </w:r>
          </w:p>
        </w:tc>
        <w:tc>
          <w:tcPr>
            <w:tcW w:w="4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460" w:type="dxa"/>
            <w:vAlign w:val="bottom"/>
          </w:tcPr>
          <w:p>
            <w:pPr>
              <w:spacing w:after="0"/>
              <w:rPr>
                <w:sz w:val="19"/>
                <w:szCs w:val="19"/>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83</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0.6</w:t>
            </w:r>
          </w:p>
        </w:tc>
      </w:tr>
      <w:tr>
        <w:trPr>
          <w:trHeight w:val="230"/>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12,659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13,118</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(459)</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Bank Service Charges</w:t>
            </w:r>
          </w:p>
        </w:tc>
        <w:tc>
          <w:tcPr>
            <w:tcW w:w="3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5,634</w:t>
            </w:r>
          </w:p>
        </w:tc>
        <w:tc>
          <w:tcPr>
            <w:tcW w:w="4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6,512</w:t>
            </w:r>
          </w:p>
        </w:tc>
        <w:tc>
          <w:tcPr>
            <w:tcW w:w="460" w:type="dxa"/>
            <w:vAlign w:val="bottom"/>
          </w:tcPr>
          <w:p>
            <w:pPr>
              <w:spacing w:after="0"/>
              <w:rPr>
                <w:sz w:val="20"/>
                <w:szCs w:val="20"/>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(878)</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(13.5)</w:t>
            </w: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18,067</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18,866</w:t>
            </w:r>
          </w:p>
        </w:tc>
        <w:tc>
          <w:tcPr>
            <w:tcW w:w="4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(799)</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r>
      <w:tr>
        <w:trPr>
          <w:trHeight w:val="223"/>
        </w:trPr>
        <w:tc>
          <w:tcPr>
            <w:tcW w:w="5340" w:type="dxa"/>
            <w:vAlign w:val="bottom"/>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177,849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187,455</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(9,606)</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w:t>
            </w:r>
          </w:p>
        </w:tc>
      </w:tr>
      <w:tr>
        <w:trPr>
          <w:trHeight w:val="23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17,505</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1,045</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15,895</w:t>
            </w:r>
          </w:p>
        </w:tc>
        <w:tc>
          <w:tcPr>
            <w:tcW w:w="4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17,021</w:t>
            </w:r>
          </w:p>
        </w:tc>
        <w:tc>
          <w:tcPr>
            <w:tcW w:w="46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(1,126)</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(6.6)</w:t>
            </w:r>
          </w:p>
        </w:tc>
      </w:tr>
      <w:tr>
        <w:trPr>
          <w:trHeight w:val="22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4,328</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(2,608)</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(60.3)</w:t>
            </w:r>
          </w:p>
        </w:tc>
      </w:tr>
      <w:tr>
        <w:trPr>
          <w:trHeight w:val="232"/>
        </w:trPr>
        <w:tc>
          <w:tcPr>
            <w:tcW w:w="53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212,969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225,264</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(12,295)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98" w:lineRule="auto"/>
        <w:tabs>
          <w:tab w:leader="none" w:pos="7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80" w:hanging="72"/>
        <w:spacing w:after="0" w:line="205" w:lineRule="auto"/>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spacing w:after="0" w:line="12" w:lineRule="exact"/>
        <w:rPr>
          <w:sz w:val="20"/>
          <w:szCs w:val="20"/>
          <w:color w:val="auto"/>
        </w:rPr>
      </w:pPr>
    </w:p>
    <w:p>
      <w:pPr>
        <w:ind w:left="80" w:hanging="72"/>
        <w:spacing w:after="0"/>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$154.2 million and $167.9 million during the six months ended June 30, 2023 and 2022, respectively.</w:t>
      </w:r>
    </w:p>
    <w:p>
      <w:pPr>
        <w:spacing w:after="0" w:line="14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decrease in personnel costs of $9.0 million was driven by a decrease of $10.0 million at Progressive Leasing attributable to its reduction in the number of employees during the second half of 2022 as part of its restructuring and cost cutting initiatives. Personnel costs attributable to Four and other strategic businesses also decreased by $0.7 million during the same period in 2022. These decreases were partially offset by an increase of $1.7 million at Vive.</w:t>
      </w:r>
    </w:p>
    <w:p>
      <w:pPr>
        <w:spacing w:after="0" w:line="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Stock-based compensation increased $3.2 million compared to 2022, consisting of increases of $1.8 million at Progressive Leasing, $1.0 million at Four and other strategic businesses, and $0.4 million at Vive. The lower stock-based compensation in 2022 was the result of: (i) the Company determining in the second quarter of 2022 that performance stock units that had been granted to Four executives were no longer probable of being earned; (ii) the reversal of the stock-based compensation expense for performance stock units granted in 2022 that were tied to the performance of Progressive Leasing, based upon the Company's determination that those performance units were no longer probable of being earned; and (iii) other stock-based forfeitures related to the Progressive Leasing restructuring program. During 2023, the estimated payout of performance stock units granted in 2023 was increased based on revisions to the Company's forecasted results, further increasing the stock-based compensation expense during the six months ended June 30, 2023.</w:t>
      </w:r>
    </w:p>
    <w:p>
      <w:pPr>
        <w:spacing w:after="0" w:line="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42424"/>
        </w:rPr>
        <w:t xml:space="preserve">Restructuring expense decreased $2.6 million primarily due to a decline in restructuring activities during the </w:t>
      </w:r>
      <w:r>
        <w:rPr>
          <w:rFonts w:ascii="Arial" w:cs="Arial" w:eastAsia="Arial" w:hAnsi="Arial"/>
          <w:sz w:val="18"/>
          <w:szCs w:val="18"/>
          <w:color w:val="000000"/>
        </w:rPr>
        <w:t>six months ended June 30, 2023</w:t>
      </w:r>
      <w:r>
        <w:rPr>
          <w:rFonts w:ascii="Arial" w:cs="Arial" w:eastAsia="Arial" w:hAnsi="Arial"/>
          <w:sz w:val="18"/>
          <w:szCs w:val="18"/>
          <w:color w:val="242424"/>
        </w:rPr>
        <w:t xml:space="preserve"> compared to the same period in </w:t>
      </w:r>
      <w:r>
        <w:rPr>
          <w:rFonts w:ascii="Arial" w:cs="Arial" w:eastAsia="Arial" w:hAnsi="Arial"/>
          <w:sz w:val="18"/>
          <w:szCs w:val="18"/>
          <w:color w:val="000000"/>
        </w:rPr>
        <w:t>2022. For the six months ended June 30, 2023, restructuring costs were primarily related to employee severance within Progressive</w:t>
      </w:r>
      <w:r>
        <w:rPr>
          <w:rFonts w:ascii="Arial" w:cs="Arial" w:eastAsia="Arial" w:hAnsi="Arial"/>
          <w:sz w:val="18"/>
          <w:szCs w:val="18"/>
          <w:color w:val="242424"/>
        </w:rPr>
        <w:t xml:space="preserve"> </w:t>
      </w:r>
      <w:r>
        <w:rPr>
          <w:rFonts w:ascii="Arial" w:cs="Arial" w:eastAsia="Arial" w:hAnsi="Arial"/>
          <w:sz w:val="18"/>
          <w:szCs w:val="18"/>
          <w:color w:val="000000"/>
        </w:rPr>
        <w:t>Leasing. For the same period in 2022, restructuring costs included a higher amount of employee severance within Progressive Leasing, in addition to operating lease right-of-use asset impairment charges related to the relocation of the Vive corporate headquarters and a reduction of Progressive Leasing call center office space.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Depreciation of lease merchandise decreased by 12.4% during the six months ended June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2022. The decrease was primarily due to the decline in GMV resulting from Progressive Leasing's tightening of its decisioning in mid-2022. As a percentage of total lease revenues and fees, depreciation of lease merchandise decreased to 67.7% from 70.7% in the prior year period, primarily due to improved customer payment activity and lower early buyouts in the six months ended June 30, 2023 as compared to the same period in 2022.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i w:val="1"/>
          <w:iCs w:val="1"/>
          <w:color w:val="auto"/>
        </w:rPr>
        <w:t>Provision for lease merchandise write-offs</w:t>
      </w:r>
      <w:r>
        <w:rPr>
          <w:rFonts w:ascii="Arial" w:cs="Arial" w:eastAsia="Arial" w:hAnsi="Arial"/>
          <w:sz w:val="16"/>
          <w:szCs w:val="16"/>
          <w:color w:val="auto"/>
        </w:rPr>
        <w:t>. The provision for lease merchandise write-offs decreased $32.8 million due to a reduction in the size of</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Progressive Leasing's lease portfolio during the six months ended June 30, 2023, compared to the same period in 2022. The provision for lease merchandise write-offs as a percentage of lease revenues decreased to 6.5% during the six months ended June 30, 2023 from 8.5% in the same period in 2022. The decrease in the provision was a result of improved customer payment activity and lower write-offs due to the Company tightening its lease decisioning in mid-2022. Given the significant economic uncertainty resulting from the rate of the increase in inflation, rising interest rates, and the potential effects of such developments on Progressive Leasing's POS partners, customers, and business going forward, a high level of estimation was involved in determining the allowance as of June 30, 2023. Actual lease merchandise write-offs could differ materially from the allowance for those write-offs.</w:t>
      </w:r>
    </w:p>
    <w:p>
      <w:pPr>
        <w:spacing w:after="0" w:line="3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$3.5 million due to interest income earned on the Company's deposits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higher interest rates. The Company earned interest income of $3.6 million during the three months ended June 30, 2023 compared to $0.1 million during the same period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interest expense and interest income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1500" w:type="dxa"/>
            <w:vAlign w:val="bottom"/>
          </w:tcPr>
          <w:p>
            <w:pPr>
              <w:jc w:val="right"/>
              <w:ind w:right="117"/>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077"/>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20"/>
              <w:spacing w:after="0"/>
              <w:rPr>
                <w:sz w:val="20"/>
                <w:szCs w:val="20"/>
                <w:color w:val="auto"/>
              </w:rPr>
            </w:pPr>
            <w:r>
              <w:rPr>
                <w:rFonts w:ascii="Arial" w:cs="Arial" w:eastAsia="Arial" w:hAnsi="Arial"/>
                <w:sz w:val="18"/>
                <w:szCs w:val="18"/>
                <w:color w:val="auto"/>
              </w:rPr>
              <w:t>19,370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19,290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7"/>
              <w:spacing w:after="0"/>
              <w:rPr>
                <w:sz w:val="20"/>
                <w:szCs w:val="20"/>
                <w:color w:val="auto"/>
              </w:rPr>
            </w:pPr>
            <w:r>
              <w:rPr>
                <w:rFonts w:ascii="Arial" w:cs="Arial" w:eastAsia="Arial" w:hAnsi="Arial"/>
                <w:sz w:val="18"/>
                <w:szCs w:val="18"/>
                <w:color w:val="auto"/>
              </w:rPr>
              <w:t>80</w:t>
            </w: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(3,596)</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(3,543)</w:t>
            </w: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15,774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19,237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(3,463)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 expense by reportable segment is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076"/>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126,473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69,464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6"/>
              <w:spacing w:after="0"/>
              <w:rPr>
                <w:sz w:val="20"/>
                <w:szCs w:val="20"/>
                <w:color w:val="auto"/>
              </w:rPr>
            </w:pPr>
            <w:r>
              <w:rPr>
                <w:rFonts w:ascii="Arial" w:cs="Arial" w:eastAsia="Arial" w:hAnsi="Arial"/>
                <w:sz w:val="18"/>
                <w:szCs w:val="18"/>
                <w:color w:val="auto"/>
              </w:rPr>
              <w:t>57,009</w:t>
            </w:r>
          </w:p>
        </w:tc>
        <w:tc>
          <w:tcPr>
            <w:tcW w:w="980" w:type="dxa"/>
            <w:vAlign w:val="bottom"/>
          </w:tcPr>
          <w:p>
            <w:pPr>
              <w:jc w:val="right"/>
              <w:spacing w:after="0"/>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3,921</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7,778</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(3,857)</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(716)</w:t>
            </w: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119,601</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67,165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52,436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loss before income tax expense within "Other" primarily relates to our Four operations. Factors impacting the change in earnings before income tax expense for each reporting segment are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Income tax expense increased to $34.4 million for the six months ended June 30, 2023 compared to $20.5 million in the prior year comparable period due to lower earnings before income tax expense in the prior year period. The effective tax rate was 28.7% during the six months ended June 30, 2023 compared to 30.6% in the same period in 2022. The decrease in the effective tax rate was primarily driven by higher earnings before income tax expense.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condensed consolidated balance sheet from December 31, 2022 to June 30, 2023 include:</w:t>
      </w:r>
    </w:p>
    <w:p>
      <w:pPr>
        <w:spacing w:after="0" w:line="9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Cash and cash equivalents increased $120.9 million to $252.8 million during the six months ended June 30, 2023. For additional information, refer to the "Liquidity and Capital Resources" section below.</w:t>
      </w:r>
    </w:p>
    <w:p>
      <w:pPr>
        <w:spacing w:after="0" w:line="48" w:lineRule="exact"/>
        <w:rPr>
          <w:rFonts w:ascii="Arial" w:cs="Arial" w:eastAsia="Arial" w:hAnsi="Arial"/>
          <w:sz w:val="18"/>
          <w:szCs w:val="18"/>
          <w:b w:val="1"/>
          <w:bCs w:val="1"/>
          <w:i w:val="1"/>
          <w:iCs w:val="1"/>
          <w:color w:val="242424"/>
        </w:rPr>
      </w:pPr>
    </w:p>
    <w:p>
      <w:pPr>
        <w:ind w:left="660" w:right="280" w:hanging="328"/>
        <w:spacing w:after="0" w:line="277" w:lineRule="auto"/>
        <w:tabs>
          <w:tab w:leader="none" w:pos="660"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Lease merchandise, net of accumulated depreciation and allowances, decreased $99.1 million due primarily to a 22.1% decrease in Progressive Leasing's GMV for the second quarter of 2023 as compared to the fourth quarter of 2022.</w:t>
      </w:r>
    </w:p>
    <w:p>
      <w:pPr>
        <w:spacing w:after="0" w:line="48" w:lineRule="exact"/>
        <w:rPr>
          <w:rFonts w:ascii="Arial" w:cs="Arial" w:eastAsia="Arial" w:hAnsi="Arial"/>
          <w:sz w:val="18"/>
          <w:szCs w:val="18"/>
          <w:b w:val="1"/>
          <w:bCs w:val="1"/>
          <w:i w:val="1"/>
          <w:iCs w:val="1"/>
          <w:color w:val="242424"/>
        </w:rPr>
      </w:pPr>
    </w:p>
    <w:p>
      <w:pPr>
        <w:ind w:left="660" w:right="80" w:hanging="328"/>
        <w:spacing w:after="0" w:line="277" w:lineRule="auto"/>
        <w:tabs>
          <w:tab w:leader="none" w:pos="660"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Accounts Receivable, net of allowances, decreased $11.3 million primarily due to a 22.1% decrease in Progressive Leasing's GMV for the second quarter of 2023 compared to the fourth quarter of 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3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June 30, 2023, the Company had $252.8 million of cash, $350.0 million of availability under the Revolving Facility, and $600.0 million of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Cash provided by operating activities was $205.4 million and $155.7 million during the six months ended June 30, 2023 and 2022, respectively. The $49.7 million increase in operating cash flows was primarily driven by the $38.6 million increase in net earnings and a $148.5 million decrease in purchases of lease merchandise compared to the same period in 2022. Changes in certain working capital accounts also contributed to operating cash flows. Other changes in cash provided by operating activities are discussed above in our discussion of results for the six months ended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investing activities was $10.6 million and $22.0 million during the six months ended June 30, 2023 and 2022, respectively. The $11.4 million decrease in investing cash outflows was primarily the result of a $8.3 million increase in proceeds from loans receivable, while the corresponding decrease in cash outflows for investments in loans receivable was $2.0 million. Cash outflows for the purchase of property and equipment also decreased by $1.1 million compared to the same period in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used in financing activities was $73.8 million during the six months ended June 30, 2023 compared to $176.6 million during the same period in 2022. Cash used in financing activities in the six months ended June 30, 2023 was primarily for the Company's repurchase of $71.8 million of its common stock, compared to $176.5 million of share repurchases in the same period in the prior year.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2,541,764 shares for $71.8 million during the six months ended June 30, 2023. That amount does not include any excise tax that may be assessed on those repurchases. As of June 30, 2023, we had the authority to purchase additional shares up to our remaining authorization limit of $265.4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spacing w:after="0" w:line="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2023,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June 30, 2023, we were in compliance with the financial covenants set forth in the Revolving Facility and believe that we will continue to be in compliance in the future.</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June 30, 2023 and believe that we will continue to be in compliance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six months ended June 30, 2023, we made net tax payments of $53.6 million. Within the next six months, we anticipate making estimated tax payments of $27.7 million for United States federal income taxes and state income taxes.</w:t>
      </w:r>
    </w:p>
    <w:p>
      <w:pPr>
        <w:spacing w:after="0" w:line="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Deferred income tax liabilities as of June 30, 2023 were $116.0 million</w:t>
      </w:r>
      <w:r>
        <w:rPr>
          <w:rFonts w:ascii="Arial" w:cs="Arial" w:eastAsia="Arial" w:hAnsi="Arial"/>
          <w:sz w:val="18"/>
          <w:szCs w:val="18"/>
          <w:color w:val="EE2724"/>
        </w:rPr>
        <w:t>.</w:t>
      </w:r>
      <w:r>
        <w:rPr>
          <w:rFonts w:ascii="Arial" w:cs="Arial" w:eastAsia="Arial" w:hAnsi="Arial"/>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Future interest payments on the Company's variable-rate debt are based on a rate per annum equal to, at our option, (i) the Secured Overnight Financing Rate ("SOFR")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June 30, 2023.</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On November 26, 2021, the Company issued $600 million aggregate principal amount of Senior Notes that bear a fixed annual interest rate of 6.00%.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accrues on the outstanding balance and is payable semi-annually. The Senior Notes will mature on November 15, 2029.</w:t>
      </w:r>
    </w:p>
    <w:p>
      <w:pPr>
        <w:spacing w:after="0" w:line="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Lending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Company, through its Vive business, had unconditionally cancellable unfunded lending commitments totaling approximately $533.0 million and</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$513.7 million as of June 30,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the 2022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Refer to Note 1 to the condensed consolidated financial statements for a discussion of recently issued accounting pronouncements, including pronouncements that were adopted in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2023, we had no outstanding borrowings under our Revolving Facility. Borrowings under the Revolving Facility are indexed to the SOFR or the prime rate, which exposes us to the risk of increased interest costs if interest rates rise. Based on the fact that the Company had no variable-rate debt outstanding as of June 30, 2023, a hypothetical 1.0% increase or decrease in interest rates would not affect interest expense.</w:t>
      </w:r>
    </w:p>
    <w:p>
      <w:pPr>
        <w:spacing w:after="0" w:line="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three and six months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updates to its risk factors disclosure from that previously reported in the 2022 Annual Report.</w:t>
      </w:r>
    </w:p>
    <w:p>
      <w:pPr>
        <w:spacing w:after="0" w:line="262" w:lineRule="exact"/>
        <w:rPr>
          <w:sz w:val="20"/>
          <w:szCs w:val="20"/>
          <w:color w:val="auto"/>
        </w:rPr>
      </w:pPr>
    </w:p>
    <w:p>
      <w:pPr>
        <w:ind w:right="3960"/>
        <w:spacing w:after="0" w:line="470" w:lineRule="auto"/>
        <w:rPr>
          <w:sz w:val="20"/>
          <w:szCs w:val="20"/>
          <w:color w:val="auto"/>
        </w:rPr>
      </w:pPr>
      <w:r>
        <w:rPr>
          <w:rFonts w:ascii="Arial" w:cs="Arial" w:eastAsia="Arial" w:hAnsi="Arial"/>
          <w:sz w:val="16"/>
          <w:szCs w:val="16"/>
          <w:b w:val="1"/>
          <w:bCs w:val="1"/>
          <w:color w:val="auto"/>
        </w:rPr>
        <w:t xml:space="preserve">ITEM 2. UNREGISTERED SALES OF EQUITY SECURITIES AND USE OF PROCEEDS </w:t>
      </w:r>
      <w:r>
        <w:rPr>
          <w:rFonts w:ascii="Arial" w:cs="Arial" w:eastAsia="Arial" w:hAnsi="Arial"/>
          <w:sz w:val="16"/>
          <w:szCs w:val="16"/>
          <w:color w:val="auto"/>
        </w:rPr>
        <w:t>The following table presents our share repurchase activity for the three months ended June 30, 2023:</w:t>
      </w:r>
    </w:p>
    <w:tbl>
      <w:tblPr>
        <w:tblLayout w:type="fixed"/>
        <w:tblInd w:w="2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tcPr>
          <w:p>
            <w:pPr>
              <w:jc w:val="center"/>
              <w:ind w:right="59"/>
              <w:spacing w:after="0" w:line="148" w:lineRule="exact"/>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3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Number of Shares  Average Price Paid</w:t>
            </w:r>
          </w:p>
        </w:tc>
        <w:tc>
          <w:tcPr>
            <w:tcW w:w="2100" w:type="dxa"/>
            <w:vAlign w:val="bottom"/>
            <w:vMerge w:val="continue"/>
          </w:tcPr>
          <w:p>
            <w:pPr>
              <w:spacing w:after="0"/>
              <w:rPr>
                <w:sz w:val="12"/>
                <w:szCs w:val="12"/>
                <w:color w:val="auto"/>
              </w:rPr>
            </w:pPr>
          </w:p>
        </w:tc>
        <w:tc>
          <w:tcPr>
            <w:tcW w:w="1820" w:type="dxa"/>
            <w:vAlign w:val="bottom"/>
          </w:tcPr>
          <w:p>
            <w:pPr>
              <w:jc w:val="center"/>
              <w:ind w:right="59"/>
              <w:spacing w:after="0" w:line="13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5"/>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700" w:type="dxa"/>
            <w:vAlign w:val="bottom"/>
            <w:gridSpan w:val="2"/>
            <w:vMerge w:val="continue"/>
          </w:tcPr>
          <w:p>
            <w:pPr>
              <w:spacing w:after="0"/>
              <w:rPr>
                <w:sz w:val="12"/>
                <w:szCs w:val="12"/>
                <w:color w:val="auto"/>
              </w:rPr>
            </w:pPr>
          </w:p>
        </w:tc>
        <w:tc>
          <w:tcPr>
            <w:tcW w:w="39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4"/>
              </w:rPr>
              <w:t>Purchased as Part of Publicly  Purchased Under the Plans or</w:t>
            </w:r>
          </w:p>
        </w:tc>
        <w:tc>
          <w:tcPr>
            <w:tcW w:w="0" w:type="dxa"/>
            <w:vAlign w:val="bottom"/>
          </w:tcPr>
          <w:p>
            <w:pPr>
              <w:spacing w:after="0"/>
              <w:rPr>
                <w:sz w:val="1"/>
                <w:szCs w:val="1"/>
                <w:color w:val="auto"/>
              </w:rPr>
            </w:pPr>
          </w:p>
        </w:tc>
      </w:tr>
      <w:tr>
        <w:trPr>
          <w:trHeight w:val="201"/>
        </w:trPr>
        <w:tc>
          <w:tcPr>
            <w:tcW w:w="3580" w:type="dxa"/>
            <w:vAlign w:val="bottom"/>
            <w:tcBorders>
              <w:bottom w:val="single" w:sz="8" w:color="auto"/>
            </w:tcBorders>
            <w:vMerge w:val="continue"/>
          </w:tcPr>
          <w:p>
            <w:pPr>
              <w:spacing w:after="0"/>
              <w:rPr>
                <w:sz w:val="17"/>
                <w:szCs w:val="17"/>
                <w:color w:val="auto"/>
              </w:rPr>
            </w:pPr>
          </w:p>
        </w:tc>
        <w:tc>
          <w:tcPr>
            <w:tcW w:w="26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per Share</w:t>
            </w:r>
          </w:p>
        </w:tc>
        <w:tc>
          <w:tcPr>
            <w:tcW w:w="2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Announced Plans or Programs</w:t>
            </w:r>
          </w:p>
        </w:tc>
        <w:tc>
          <w:tcPr>
            <w:tcW w:w="1820" w:type="dxa"/>
            <w:vAlign w:val="bottom"/>
            <w:tcBorders>
              <w:bottom w:val="single" w:sz="8" w:color="auto"/>
            </w:tcBorders>
          </w:tcPr>
          <w:p>
            <w:pPr>
              <w:jc w:val="center"/>
              <w:ind w:right="59"/>
              <w:spacing w:after="0" w:line="201"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through April 30, 2023</w:t>
            </w:r>
          </w:p>
        </w:tc>
        <w:tc>
          <w:tcPr>
            <w:tcW w:w="2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300,804,315</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2660" w:type="dxa"/>
            <w:vAlign w:val="bottom"/>
          </w:tcPr>
          <w:p>
            <w:pPr>
              <w:jc w:val="right"/>
              <w:ind w:right="216"/>
              <w:spacing w:after="0"/>
              <w:rPr>
                <w:sz w:val="20"/>
                <w:szCs w:val="20"/>
                <w:color w:val="auto"/>
              </w:rPr>
            </w:pPr>
            <w:r>
              <w:rPr>
                <w:rFonts w:ascii="Arial" w:cs="Arial" w:eastAsia="Arial" w:hAnsi="Arial"/>
                <w:sz w:val="18"/>
                <w:szCs w:val="18"/>
                <w:color w:val="auto"/>
              </w:rPr>
              <w:t>530,000</w:t>
            </w:r>
          </w:p>
        </w:tc>
        <w:tc>
          <w:tcPr>
            <w:tcW w:w="1040" w:type="dxa"/>
            <w:vAlign w:val="bottom"/>
          </w:tcPr>
          <w:p>
            <w:pPr>
              <w:jc w:val="right"/>
              <w:spacing w:after="0"/>
              <w:rPr>
                <w:sz w:val="20"/>
                <w:szCs w:val="20"/>
                <w:color w:val="auto"/>
              </w:rPr>
            </w:pPr>
            <w:r>
              <w:rPr>
                <w:rFonts w:ascii="Arial" w:cs="Arial" w:eastAsia="Arial" w:hAnsi="Arial"/>
                <w:sz w:val="18"/>
                <w:szCs w:val="18"/>
                <w:color w:val="auto"/>
              </w:rPr>
              <w:t>31.28</w:t>
            </w: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530,000</w:t>
            </w:r>
          </w:p>
        </w:tc>
        <w:tc>
          <w:tcPr>
            <w:tcW w:w="1820" w:type="dxa"/>
            <w:vAlign w:val="bottom"/>
          </w:tcPr>
          <w:p>
            <w:pPr>
              <w:jc w:val="right"/>
              <w:spacing w:after="0"/>
              <w:rPr>
                <w:sz w:val="20"/>
                <w:szCs w:val="20"/>
                <w:color w:val="auto"/>
              </w:rPr>
            </w:pPr>
            <w:r>
              <w:rPr>
                <w:rFonts w:ascii="Arial" w:cs="Arial" w:eastAsia="Arial" w:hAnsi="Arial"/>
                <w:sz w:val="18"/>
                <w:szCs w:val="18"/>
                <w:color w:val="auto"/>
              </w:rPr>
              <w:t>284,225,376</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2023 through June 30, 2023</w:t>
            </w:r>
          </w:p>
        </w:tc>
        <w:tc>
          <w:tcPr>
            <w:tcW w:w="26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553,115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553,115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265,440,247</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1,083,115</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1,083,115</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right="40" w:hanging="72"/>
        <w:spacing w:after="0" w:line="294" w:lineRule="auto"/>
        <w:tabs>
          <w:tab w:leader="none" w:pos="69"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0" w:type="dxa"/>
            <w:vAlign w:val="bottom"/>
          </w:tcPr>
          <w:p>
            <w:pPr>
              <w:jc w:val="center"/>
              <w:ind w:right="253"/>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620" w:type="dxa"/>
            <w:vAlign w:val="bottom"/>
            <w:gridSpan w:val="7"/>
            <w:vMerge w:val="restart"/>
          </w:tcPr>
          <w:p>
            <w:pPr>
              <w:ind w:left="36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000" w:type="dxa"/>
            <w:vAlign w:val="bottom"/>
          </w:tcPr>
          <w:p>
            <w:pPr>
              <w:jc w:val="center"/>
              <w:ind w:right="253"/>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6"/>
                <w:szCs w:val="16"/>
                <w:color w:val="auto"/>
              </w:rPr>
            </w:pPr>
          </w:p>
        </w:tc>
        <w:tc>
          <w:tcPr>
            <w:tcW w:w="96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5"/>
              </w:rPr>
              <w:t>10.1*</w:t>
            </w:r>
          </w:p>
        </w:tc>
        <w:tc>
          <w:tcPr>
            <w:tcW w:w="10020" w:type="dxa"/>
            <w:vAlign w:val="bottom"/>
            <w:gridSpan w:val="8"/>
          </w:tcPr>
          <w:p>
            <w:pPr>
              <w:spacing w:after="0"/>
              <w:rPr>
                <w:sz w:val="20"/>
                <w:szCs w:val="20"/>
                <w:color w:val="auto"/>
              </w:rPr>
            </w:pPr>
            <w:r>
              <w:rPr>
                <w:rFonts w:ascii="Arial" w:cs="Arial" w:eastAsia="Arial" w:hAnsi="Arial"/>
                <w:sz w:val="18"/>
                <w:szCs w:val="18"/>
                <w:color w:val="0000FF"/>
                <w:w w:val="94"/>
              </w:rPr>
              <w:t>Second Amendment to Credit Agreement, dated as of May 26, 2023, entered into among Progressive Finance Holdings, LLC, PROG</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Holdings, Inc. and the other Guarantors party thereto, the Lenders party thereto and JPMorgan Chase Bank, N.A., as Administrative</w:t>
            </w:r>
          </w:p>
        </w:tc>
        <w:tc>
          <w:tcPr>
            <w:tcW w:w="460" w:type="dxa"/>
            <w:vAlign w:val="bottom"/>
            <w:gridSpan w:val="4"/>
          </w:tcPr>
          <w:p>
            <w:pPr>
              <w:spacing w:after="0" w:line="156" w:lineRule="exact"/>
              <w:rPr>
                <w:sz w:val="20"/>
                <w:szCs w:val="20"/>
                <w:color w:val="auto"/>
              </w:rPr>
            </w:pPr>
            <w:r>
              <w:rPr>
                <w:rFonts w:ascii="Arial" w:cs="Arial" w:eastAsia="Arial" w:hAnsi="Arial"/>
                <w:sz w:val="18"/>
                <w:szCs w:val="18"/>
                <w:color w:val="0000FF"/>
                <w:w w:val="84"/>
              </w:rPr>
              <w:t>Agent.</w:t>
            </w:r>
          </w:p>
        </w:tc>
        <w:tc>
          <w:tcPr>
            <w:tcW w:w="0" w:type="dxa"/>
            <w:vAlign w:val="bottom"/>
          </w:tcPr>
          <w:p>
            <w:pPr>
              <w:spacing w:after="0"/>
              <w:rPr>
                <w:sz w:val="1"/>
                <w:szCs w:val="1"/>
                <w:color w:val="auto"/>
              </w:rPr>
            </w:pPr>
          </w:p>
        </w:tc>
      </w:tr>
      <w:tr>
        <w:trPr>
          <w:trHeight w:val="277"/>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5"/>
              </w:rPr>
              <w:t>31.1*</w:t>
            </w:r>
          </w:p>
        </w:tc>
        <w:tc>
          <w:tcPr>
            <w:tcW w:w="9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of Chief Executive Officer pursuant to Rule 13a-14(a) and Rule 15d-14(a) of the Securities Exchange Act, as amended.</w:t>
            </w:r>
          </w:p>
        </w:tc>
        <w:tc>
          <w:tcPr>
            <w:tcW w:w="460" w:type="dxa"/>
            <w:vAlign w:val="bottom"/>
            <w:tcBorders>
              <w:top w:val="single" w:sz="8" w:color="0000FF"/>
            </w:tcBorders>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5"/>
              </w:rPr>
              <w:t>31.2*</w:t>
            </w:r>
          </w:p>
        </w:tc>
        <w:tc>
          <w:tcPr>
            <w:tcW w:w="10020" w:type="dxa"/>
            <w:vAlign w:val="bottom"/>
            <w:gridSpan w:val="8"/>
          </w:tcPr>
          <w:p>
            <w:pPr>
              <w:spacing w:after="0"/>
              <w:rPr>
                <w:sz w:val="20"/>
                <w:szCs w:val="20"/>
                <w:color w:val="auto"/>
              </w:rPr>
            </w:pPr>
            <w:r>
              <w:rPr>
                <w:rFonts w:ascii="Arial" w:cs="Arial" w:eastAsia="Arial" w:hAnsi="Arial"/>
                <w:sz w:val="18"/>
                <w:szCs w:val="18"/>
                <w:color w:val="0000FF"/>
                <w:w w:val="96"/>
              </w:rPr>
              <w:t>Certification of Chief Financial Officer pursuant to Rule 13a-14(a) and Rule 15d-14(a) of the Securities Exchange Act, as 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5"/>
              </w:rPr>
              <w:t>32.1*</w:t>
            </w:r>
          </w:p>
        </w:tc>
        <w:tc>
          <w:tcPr>
            <w:tcW w:w="10020" w:type="dxa"/>
            <w:vAlign w:val="bottom"/>
            <w:gridSpan w:val="8"/>
          </w:tcPr>
          <w:p>
            <w:pPr>
              <w:spacing w:after="0"/>
              <w:rPr>
                <w:sz w:val="20"/>
                <w:szCs w:val="20"/>
                <w:color w:val="auto"/>
              </w:rPr>
            </w:pPr>
            <w:r>
              <w:rPr>
                <w:rFonts w:ascii="Arial" w:cs="Arial" w:eastAsia="Arial" w:hAnsi="Arial"/>
                <w:sz w:val="18"/>
                <w:szCs w:val="18"/>
                <w:color w:val="0000FF"/>
                <w:w w:val="94"/>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2002.</w:t>
            </w:r>
          </w:p>
        </w:tc>
        <w:tc>
          <w:tcPr>
            <w:tcW w:w="90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5"/>
              </w:rPr>
              <w:t>32.2*</w:t>
            </w:r>
          </w:p>
        </w:tc>
        <w:tc>
          <w:tcPr>
            <w:tcW w:w="10020" w:type="dxa"/>
            <w:vAlign w:val="bottom"/>
            <w:gridSpan w:val="8"/>
          </w:tcPr>
          <w:p>
            <w:pPr>
              <w:spacing w:after="0"/>
              <w:rPr>
                <w:sz w:val="20"/>
                <w:szCs w:val="20"/>
                <w:color w:val="auto"/>
              </w:rPr>
            </w:pPr>
            <w:r>
              <w:rPr>
                <w:rFonts w:ascii="Arial" w:cs="Arial" w:eastAsia="Arial" w:hAnsi="Arial"/>
                <w:sz w:val="18"/>
                <w:szCs w:val="18"/>
                <w:color w:val="0000FF"/>
                <w:w w:val="95"/>
              </w:rPr>
              <w:t>Certification of Chief Financial Officer pursuant to 18 U.S.C. 1350, as adopted pursuant to Section 906 of the Sarbanes-Oxley Act of</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90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2"/>
              </w:rPr>
              <w:t>101.INS</w:t>
            </w:r>
          </w:p>
        </w:tc>
        <w:tc>
          <w:tcPr>
            <w:tcW w:w="10020" w:type="dxa"/>
            <w:vAlign w:val="bottom"/>
            <w:gridSpan w:val="8"/>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83"/>
        </w:trPr>
        <w:tc>
          <w:tcPr>
            <w:tcW w:w="1000" w:type="dxa"/>
            <w:vAlign w:val="bottom"/>
          </w:tcPr>
          <w:p>
            <w:pPr>
              <w:jc w:val="center"/>
              <w:ind w:right="253"/>
              <w:spacing w:after="0"/>
              <w:rPr>
                <w:sz w:val="20"/>
                <w:szCs w:val="20"/>
                <w:color w:val="auto"/>
              </w:rPr>
            </w:pPr>
            <w:r>
              <w:rPr>
                <w:rFonts w:ascii="Arial" w:cs="Arial" w:eastAsia="Arial" w:hAnsi="Arial"/>
                <w:sz w:val="18"/>
                <w:szCs w:val="18"/>
                <w:color w:val="auto"/>
                <w:w w:val="90"/>
              </w:rPr>
              <w:t>101.SCH</w:t>
            </w:r>
          </w:p>
        </w:tc>
        <w:tc>
          <w:tcPr>
            <w:tcW w:w="100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97"/>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7"/>
              </w:rPr>
              <w:t>101.CAL</w:t>
            </w:r>
          </w:p>
        </w:tc>
        <w:tc>
          <w:tcPr>
            <w:tcW w:w="100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000" w:type="dxa"/>
            <w:vAlign w:val="bottom"/>
          </w:tcPr>
          <w:p>
            <w:pPr>
              <w:jc w:val="center"/>
              <w:ind w:right="253"/>
              <w:spacing w:after="0"/>
              <w:rPr>
                <w:sz w:val="20"/>
                <w:szCs w:val="20"/>
                <w:color w:val="auto"/>
              </w:rPr>
            </w:pPr>
            <w:r>
              <w:rPr>
                <w:rFonts w:ascii="Arial" w:cs="Arial" w:eastAsia="Arial" w:hAnsi="Arial"/>
                <w:sz w:val="18"/>
                <w:szCs w:val="18"/>
                <w:color w:val="auto"/>
                <w:w w:val="92"/>
              </w:rPr>
              <w:t>101.DEF</w:t>
            </w:r>
          </w:p>
        </w:tc>
        <w:tc>
          <w:tcPr>
            <w:tcW w:w="100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98"/>
              </w:rPr>
              <w:t>101.LAB</w:t>
            </w:r>
          </w:p>
        </w:tc>
        <w:tc>
          <w:tcPr>
            <w:tcW w:w="1002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97"/>
        </w:trPr>
        <w:tc>
          <w:tcPr>
            <w:tcW w:w="1000" w:type="dxa"/>
            <w:vAlign w:val="bottom"/>
          </w:tcPr>
          <w:p>
            <w:pPr>
              <w:jc w:val="center"/>
              <w:ind w:right="233"/>
              <w:spacing w:after="0"/>
              <w:rPr>
                <w:sz w:val="20"/>
                <w:szCs w:val="20"/>
                <w:color w:val="auto"/>
              </w:rPr>
            </w:pPr>
            <w:r>
              <w:rPr>
                <w:rFonts w:ascii="Arial" w:cs="Arial" w:eastAsia="Arial" w:hAnsi="Arial"/>
                <w:sz w:val="18"/>
                <w:szCs w:val="18"/>
                <w:color w:val="auto"/>
                <w:w w:val="88"/>
              </w:rPr>
              <w:t>101.PRE</w:t>
            </w:r>
          </w:p>
        </w:tc>
        <w:tc>
          <w:tcPr>
            <w:tcW w:w="100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400" w:hanging="800"/>
        <w:spacing w:after="0" w:line="235"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 the quarter ended June 30, 2023, formatted in Inline XBRL (included in Exhibit 101)</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5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PROG Holdings, Inc.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760" w:right="3000" w:hanging="6197"/>
        <w:spacing w:after="0" w:line="282" w:lineRule="auto"/>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2023 By: /s/ BRIAN GARNER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wp:posOffset>
            </wp:positionV>
            <wp:extent cx="2263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60"/>
              <w:spacing w:after="0"/>
              <w:rPr>
                <w:sz w:val="20"/>
                <w:szCs w:val="20"/>
                <w:color w:val="auto"/>
              </w:rPr>
            </w:pPr>
            <w:r>
              <w:rPr>
                <w:rFonts w:ascii="Arial" w:cs="Arial" w:eastAsia="Arial" w:hAnsi="Arial"/>
                <w:sz w:val="18"/>
                <w:szCs w:val="18"/>
                <w:color w:val="auto"/>
              </w:rPr>
              <w:t>July 26, 2023</w:t>
            </w:r>
          </w:p>
        </w:tc>
        <w:tc>
          <w:tcPr>
            <w:tcW w:w="6120" w:type="dxa"/>
            <w:vAlign w:val="bottom"/>
            <w:gridSpan w:val="2"/>
          </w:tcPr>
          <w:p>
            <w:pPr>
              <w:ind w:left="2080"/>
              <w:spacing w:after="0"/>
              <w:rPr>
                <w:sz w:val="20"/>
                <w:szCs w:val="20"/>
                <w:color w:val="auto"/>
              </w:rPr>
            </w:pPr>
            <w:r>
              <w:rPr>
                <w:rFonts w:ascii="Arial" w:cs="Arial" w:eastAsia="Arial" w:hAnsi="Arial"/>
                <w:sz w:val="18"/>
                <w:szCs w:val="18"/>
                <w:color w:val="auto"/>
              </w:rPr>
              <w:t>By:   /s/ MATT SEWELL</w:t>
            </w:r>
          </w:p>
        </w:tc>
      </w:tr>
      <w:tr>
        <w:trPr>
          <w:trHeight w:val="222"/>
        </w:trPr>
        <w:tc>
          <w:tcPr>
            <w:tcW w:w="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 Sewell</w:t>
            </w:r>
          </w:p>
        </w:tc>
      </w:tr>
      <w:tr>
        <w:trPr>
          <w:trHeight w:val="230"/>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Vice President, Financial Reporting</w:t>
            </w:r>
          </w:p>
        </w:tc>
      </w:tr>
      <w:tr>
        <w:trPr>
          <w:trHeight w:val="243"/>
        </w:trPr>
        <w:tc>
          <w:tcPr>
            <w:tcW w:w="5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904"/>
        </w:trPr>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6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 TO CREDIT AGREEMENT</w:t>
      </w:r>
    </w:p>
    <w:p>
      <w:pPr>
        <w:spacing w:after="0" w:line="216" w:lineRule="exact"/>
        <w:rPr>
          <w:sz w:val="20"/>
          <w:szCs w:val="20"/>
          <w:color w:val="auto"/>
        </w:rPr>
      </w:pPr>
    </w:p>
    <w:p>
      <w:pPr>
        <w:ind w:firstLine="316"/>
        <w:spacing w:after="0" w:line="223" w:lineRule="auto"/>
        <w:rPr>
          <w:sz w:val="20"/>
          <w:szCs w:val="20"/>
          <w:color w:val="auto"/>
        </w:rPr>
      </w:pPr>
      <w:r>
        <w:rPr>
          <w:rFonts w:ascii="Arial" w:cs="Arial" w:eastAsia="Arial" w:hAnsi="Arial"/>
          <w:sz w:val="19"/>
          <w:szCs w:val="19"/>
          <w:color w:val="auto"/>
        </w:rPr>
        <w:t>THIS SECOND AMENDMENT TO CREDIT AGREEMENT dated as of May 26, 2023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among PROGRESSIVE FINANCE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PROG HOLDINGS, INC., a</w:t>
      </w:r>
    </w:p>
    <w:p>
      <w:pPr>
        <w:spacing w:after="0" w:line="236" w:lineRule="auto"/>
        <w:rPr>
          <w:sz w:val="20"/>
          <w:szCs w:val="20"/>
          <w:color w:val="auto"/>
        </w:rPr>
      </w:pPr>
      <w:r>
        <w:rPr>
          <w:rFonts w:ascii="Arial" w:cs="Arial" w:eastAsia="Arial" w:hAnsi="Arial"/>
          <w:sz w:val="18"/>
          <w:szCs w:val="18"/>
          <w:color w:val="auto"/>
        </w:rPr>
        <w:t>Delaware corporation (formerly known as Aaron’s Holdings Company, Inc.), the “</w:t>
      </w:r>
      <w:r>
        <w:rPr>
          <w:rFonts w:ascii="Arial" w:cs="Arial" w:eastAsia="Arial" w:hAnsi="Arial"/>
          <w:sz w:val="18"/>
          <w:szCs w:val="18"/>
          <w:u w:val="single" w:color="auto"/>
          <w:color w:val="auto"/>
        </w:rPr>
        <w:t>Ultimate Parent</w:t>
      </w:r>
      <w:r>
        <w:rPr>
          <w:rFonts w:ascii="Arial" w:cs="Arial" w:eastAsia="Arial" w:hAnsi="Arial"/>
          <w:sz w:val="18"/>
          <w:szCs w:val="18"/>
          <w:color w:val="auto"/>
        </w:rPr>
        <w:t>”) and the other Guarantors party hereto,</w:t>
      </w:r>
    </w:p>
    <w:p>
      <w:pPr>
        <w:spacing w:after="0" w:line="232" w:lineRule="auto"/>
        <w:rPr>
          <w:sz w:val="20"/>
          <w:szCs w:val="20"/>
          <w:color w:val="auto"/>
        </w:rPr>
      </w:pPr>
      <w:r>
        <w:rPr>
          <w:rFonts w:ascii="Arial" w:cs="Arial" w:eastAsia="Arial" w:hAnsi="Arial"/>
          <w:sz w:val="19"/>
          <w:szCs w:val="19"/>
          <w:color w:val="auto"/>
        </w:rPr>
        <w:t>the Lenders party hereto, and JPMORGAN CHASE BANK, N.A., as Administrative Agent. Capitalized terms used herein and not otherwise defined shall have the meanings ascribed thereto in the Credit Agreement (as defined below and as amended hereby).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firstLine="217"/>
        <w:spacing w:after="0" w:line="236" w:lineRule="auto"/>
        <w:rPr>
          <w:sz w:val="20"/>
          <w:szCs w:val="20"/>
          <w:color w:val="auto"/>
        </w:rPr>
      </w:pPr>
      <w:r>
        <w:rPr>
          <w:rFonts w:ascii="Arial" w:cs="Arial" w:eastAsia="Arial" w:hAnsi="Arial"/>
          <w:sz w:val="18"/>
          <w:szCs w:val="18"/>
          <w:color w:val="auto"/>
        </w:rPr>
        <w:t>WHEREAS, the Borrower, the Guarantors, the Lenders and the Administrative Agent are parties to that certain Credit Agreement dated as of November 24, 2020 (as amended by that certain First Amendment to Credit Agreement dated as of November 8, 2021 and as further</w:t>
      </w:r>
    </w:p>
    <w:p>
      <w:pPr>
        <w:spacing w:after="0" w:line="227" w:lineRule="auto"/>
        <w:rPr>
          <w:sz w:val="20"/>
          <w:szCs w:val="20"/>
          <w:color w:val="auto"/>
        </w:rPr>
      </w:pPr>
      <w:r>
        <w:rPr>
          <w:rFonts w:ascii="Arial" w:cs="Arial" w:eastAsia="Arial" w:hAnsi="Arial"/>
          <w:sz w:val="20"/>
          <w:szCs w:val="20"/>
          <w:color w:val="auto"/>
        </w:rPr>
        <w:t>amended, restated, supplemented or otherwise modified prior to the date hereof, the “Existing Credit Agreement”, and as amended by this Amendment, the “Amended Credit Agreement”); and</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Borrower has requested certain modifications to the Existing Credit Agreement, and the Lenders have agreed to such modifications subject to the terms hereof.</w:t>
      </w:r>
    </w:p>
    <w:p>
      <w:pPr>
        <w:spacing w:after="0" w:line="19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agreements contained herein, and for other good and valuable consideration, the receipt and sufficiency of which is hereby acknowledged, the parties hereto agree as follows:</w:t>
      </w:r>
    </w:p>
    <w:p>
      <w:pPr>
        <w:spacing w:after="0" w:line="196" w:lineRule="exact"/>
        <w:rPr>
          <w:sz w:val="20"/>
          <w:szCs w:val="20"/>
          <w:color w:val="auto"/>
        </w:rPr>
      </w:pPr>
    </w:p>
    <w:p>
      <w:pPr>
        <w:ind w:firstLine="656"/>
        <w:spacing w:after="0" w:line="236" w:lineRule="auto"/>
        <w:tabs>
          <w:tab w:leader="none" w:pos="103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Introductory Paragraph and Recitals</w:t>
      </w:r>
      <w:r>
        <w:rPr>
          <w:rFonts w:ascii="Arial" w:cs="Arial" w:eastAsia="Arial" w:hAnsi="Arial"/>
          <w:sz w:val="20"/>
          <w:szCs w:val="20"/>
          <w:color w:val="auto"/>
        </w:rPr>
        <w:t>. The above introductory paragraph and recitals of this Amendment are incorporated herein by reference as if fully set forth herein.</w:t>
      </w:r>
    </w:p>
    <w:p>
      <w:pPr>
        <w:spacing w:after="0" w:line="182" w:lineRule="exact"/>
        <w:rPr>
          <w:rFonts w:ascii="Arial" w:cs="Arial" w:eastAsia="Arial" w:hAnsi="Arial"/>
          <w:sz w:val="20"/>
          <w:szCs w:val="20"/>
          <w:color w:val="auto"/>
        </w:rPr>
      </w:pPr>
    </w:p>
    <w:p>
      <w:pPr>
        <w:ind w:firstLine="656"/>
        <w:spacing w:after="0" w:line="236" w:lineRule="auto"/>
        <w:tabs>
          <w:tab w:leader="none" w:pos="109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herein (including in the recitals hereof) and not otherwise defined herein shall have the meanings provided in the Existing Credit Agreement.</w:t>
      </w:r>
    </w:p>
    <w:p>
      <w:pPr>
        <w:spacing w:after="0" w:line="182" w:lineRule="exact"/>
        <w:rPr>
          <w:rFonts w:ascii="Arial" w:cs="Arial" w:eastAsia="Arial" w:hAnsi="Arial"/>
          <w:sz w:val="20"/>
          <w:szCs w:val="20"/>
          <w:color w:val="auto"/>
        </w:rPr>
      </w:pPr>
    </w:p>
    <w:p>
      <w:pPr>
        <w:ind w:left="1000" w:hanging="344"/>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 to Existing Credit Agreement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60" w:firstLine="644"/>
        <w:spacing w:after="0" w:line="236" w:lineRule="auto"/>
        <w:tabs>
          <w:tab w:leader="none" w:pos="1956"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Existing Credit Agreement is hereby amended by this Amendment and for ease of reference restated (after giving effect to this Amendment) in the form of Annex A hereto.</w:t>
      </w:r>
    </w:p>
    <w:p>
      <w:pPr>
        <w:spacing w:after="0" w:line="155" w:lineRule="exact"/>
        <w:rPr>
          <w:rFonts w:ascii="Arial" w:cs="Arial" w:eastAsia="Arial" w:hAnsi="Arial"/>
          <w:sz w:val="20"/>
          <w:szCs w:val="20"/>
          <w:color w:val="auto"/>
        </w:rPr>
      </w:pPr>
    </w:p>
    <w:p>
      <w:pPr>
        <w:ind w:left="660" w:firstLine="644"/>
        <w:spacing w:after="0" w:line="236" w:lineRule="auto"/>
        <w:tabs>
          <w:tab w:leader="none" w:pos="1956" w:val="left"/>
        </w:tabs>
        <w:numPr>
          <w:ilvl w:val="1"/>
          <w:numId w:val="23"/>
        </w:numPr>
        <w:rPr>
          <w:rFonts w:ascii="Arial" w:cs="Arial" w:eastAsia="Arial" w:hAnsi="Arial"/>
          <w:sz w:val="20"/>
          <w:szCs w:val="20"/>
          <w:color w:val="auto"/>
        </w:rPr>
      </w:pPr>
      <w:r>
        <w:rPr>
          <w:rFonts w:ascii="Arial" w:cs="Arial" w:eastAsia="Arial" w:hAnsi="Arial"/>
          <w:sz w:val="20"/>
          <w:szCs w:val="20"/>
          <w:color w:val="auto"/>
        </w:rPr>
        <w:t>Exhibit B and Exhibit C to the Existing Credit Agreement are hereby amended by this Amendment and for ease of reference restated (after giving effect to this Amendment) in the form of Annex B hereto.</w:t>
      </w:r>
    </w:p>
    <w:p>
      <w:pPr>
        <w:spacing w:after="0" w:line="168" w:lineRule="exact"/>
        <w:rPr>
          <w:rFonts w:ascii="Arial" w:cs="Arial" w:eastAsia="Arial" w:hAnsi="Arial"/>
          <w:sz w:val="20"/>
          <w:szCs w:val="20"/>
          <w:color w:val="auto"/>
        </w:rPr>
      </w:pPr>
    </w:p>
    <w:p>
      <w:pPr>
        <w:ind w:firstLine="656"/>
        <w:spacing w:after="0" w:line="229" w:lineRule="auto"/>
        <w:tabs>
          <w:tab w:leader="none" w:pos="1162"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Effectiveness; Conditions Precedent</w:t>
      </w:r>
      <w:r>
        <w:rPr>
          <w:rFonts w:ascii="Arial" w:cs="Arial" w:eastAsia="Arial" w:hAnsi="Arial"/>
          <w:sz w:val="20"/>
          <w:szCs w:val="20"/>
          <w:color w:val="auto"/>
        </w:rPr>
        <w:t>. This Amendment shall be effective as of the date first written above (the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upon satisfaction of the following conditions precedent:</w:t>
      </w:r>
    </w:p>
    <w:p>
      <w:pPr>
        <w:spacing w:after="0" w:line="168" w:lineRule="exact"/>
        <w:rPr>
          <w:rFonts w:ascii="Arial" w:cs="Arial" w:eastAsia="Arial" w:hAnsi="Arial"/>
          <w:sz w:val="20"/>
          <w:szCs w:val="20"/>
          <w:color w:val="auto"/>
        </w:rPr>
      </w:pPr>
    </w:p>
    <w:p>
      <w:pPr>
        <w:ind w:left="660" w:firstLine="644"/>
        <w:spacing w:after="0" w:line="236" w:lineRule="auto"/>
        <w:tabs>
          <w:tab w:leader="none" w:pos="1736" w:val="left"/>
        </w:tabs>
        <w:numPr>
          <w:ilvl w:val="1"/>
          <w:numId w:val="23"/>
        </w:numPr>
        <w:rPr>
          <w:rFonts w:ascii="Arial" w:cs="Arial" w:eastAsia="Arial" w:hAnsi="Arial"/>
          <w:sz w:val="20"/>
          <w:szCs w:val="20"/>
          <w:color w:val="auto"/>
        </w:rPr>
      </w:pPr>
      <w:r>
        <w:rPr>
          <w:rFonts w:ascii="Arial" w:cs="Arial" w:eastAsia="Arial" w:hAnsi="Arial"/>
          <w:sz w:val="20"/>
          <w:szCs w:val="20"/>
          <w:color w:val="auto"/>
        </w:rPr>
        <w:t>receipt by the Administrative Agent of executed counterparts of this Amendment duly executed by the Loan Parties, the Lenders and the Administrative Agent; and</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759" w:val="left"/>
        </w:tabs>
        <w:numPr>
          <w:ilvl w:val="1"/>
          <w:numId w:val="23"/>
        </w:numPr>
        <w:rPr>
          <w:rFonts w:ascii="Arial" w:cs="Arial" w:eastAsia="Arial" w:hAnsi="Arial"/>
          <w:sz w:val="20"/>
          <w:szCs w:val="20"/>
          <w:color w:val="auto"/>
        </w:rPr>
      </w:pPr>
      <w:r>
        <w:rPr>
          <w:rFonts w:ascii="Arial" w:cs="Arial" w:eastAsia="Arial" w:hAnsi="Arial"/>
          <w:sz w:val="20"/>
          <w:szCs w:val="20"/>
          <w:color w:val="auto"/>
        </w:rPr>
        <w:t>receipt by the Administrative Agent of all reasonable out of pocket fees and expenses (and all filing and recording fees and taxes) required to be paid on or before the date hereof, including the reasonable and documented fees, charges and disbursements of one counsel for the Administrative Agent.</w:t>
      </w:r>
    </w:p>
    <w:p>
      <w:pPr>
        <w:spacing w:after="0" w:line="157" w:lineRule="exact"/>
        <w:rPr>
          <w:rFonts w:ascii="Arial" w:cs="Arial" w:eastAsia="Arial" w:hAnsi="Arial"/>
          <w:sz w:val="20"/>
          <w:szCs w:val="20"/>
          <w:color w:val="auto"/>
        </w:rPr>
      </w:pPr>
    </w:p>
    <w:p>
      <w:pPr>
        <w:ind w:left="1000" w:hanging="344"/>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This Amendment shall be deemed to be, and is,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CHAR1\1989129v3</w:t>
      </w:r>
    </w:p>
    <w:p>
      <w:pPr>
        <w:sectPr>
          <w:pgSz w:w="11900" w:h="16838" w:orient="portrait"/>
          <w:cols w:equalWidth="0" w:num="1">
            <w:col w:w="11240"/>
          </w:cols>
          <w:pgMar w:left="320" w:top="104" w:right="339" w:bottom="1440" w:gutter="0" w:footer="0" w:header="0"/>
        </w:sectPr>
      </w:pPr>
    </w:p>
    <w:bookmarkStart w:id="39" w:name="page40"/>
    <w:bookmarkEnd w:id="39"/>
    <w:p>
      <w:pPr>
        <w:ind w:left="660" w:firstLine="644"/>
        <w:spacing w:after="0" w:line="236" w:lineRule="auto"/>
        <w:tabs>
          <w:tab w:leader="none" w:pos="201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Effective as of the date hereof, all references to the Existing Credit Agreement in each of the Loan Documents shall hereafter mean the Amended Credit Agreement as amended by this Amendment.</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1"/>
          <w:numId w:val="24"/>
        </w:numPr>
        <w:rPr>
          <w:rFonts w:ascii="Arial" w:cs="Arial" w:eastAsia="Arial" w:hAnsi="Arial"/>
          <w:sz w:val="20"/>
          <w:szCs w:val="20"/>
          <w:color w:val="auto"/>
        </w:rPr>
      </w:pPr>
      <w:r>
        <w:rPr>
          <w:rFonts w:ascii="Arial" w:cs="Arial" w:eastAsia="Arial" w:hAnsi="Arial"/>
          <w:sz w:val="20"/>
          <w:szCs w:val="20"/>
          <w:color w:val="auto"/>
        </w:rPr>
        <w:t>Except as expressly modified by this Amendment, the Amended Credit Agreement, the Loan Documents and the obligations of each Loan Party thereunder and under the other Loan Documents are hereby ratified and confirmed and shall continue and remain in full force and effect according to their terms.</w:t>
      </w:r>
    </w:p>
    <w:p>
      <w:pPr>
        <w:spacing w:after="0" w:line="157" w:lineRule="exact"/>
        <w:rPr>
          <w:rFonts w:ascii="Arial" w:cs="Arial" w:eastAsia="Arial" w:hAnsi="Arial"/>
          <w:sz w:val="20"/>
          <w:szCs w:val="20"/>
          <w:color w:val="auto"/>
        </w:rPr>
      </w:pPr>
    </w:p>
    <w:p>
      <w:pPr>
        <w:ind w:left="1960" w:hanging="656"/>
        <w:spacing w:after="0"/>
        <w:tabs>
          <w:tab w:leader="none" w:pos="19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Each of the Loan Parties (i) acknowledges and consents to all of the terms and conditions of this Amendment,</w:t>
      </w:r>
    </w:p>
    <w:p>
      <w:pPr>
        <w:jc w:val="both"/>
        <w:ind w:left="660" w:hanging="4"/>
        <w:spacing w:after="0" w:line="239" w:lineRule="auto"/>
        <w:tabs>
          <w:tab w:leader="none" w:pos="9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agrees that this Amendment and all documents executed in connection herewith do not operate to reduce or discharge its obligations under the Amended Credit Agreement or the other Loan Documents or any certificates, documents, agreements and instruments executed in connection therewith, (iii) affirms all of its obligations under the Loan Documents, (iv) agrees that this Amendment shall in no manner impair or otherwise adversely affect any of the Liens granted in or pursuant to the Loan Documents, if any and (v) affirms that each of the Liens granted in or pursuant to the Loan Documents, if any, are valid and subsisting.</w:t>
      </w:r>
    </w:p>
    <w:p>
      <w:pPr>
        <w:spacing w:after="0" w:line="154" w:lineRule="exact"/>
        <w:rPr>
          <w:rFonts w:ascii="Arial" w:cs="Arial" w:eastAsia="Arial" w:hAnsi="Arial"/>
          <w:sz w:val="18"/>
          <w:szCs w:val="18"/>
          <w:color w:val="auto"/>
        </w:rPr>
      </w:pPr>
    </w:p>
    <w:p>
      <w:pPr>
        <w:ind w:left="1960" w:hanging="656"/>
        <w:spacing w:after="0"/>
        <w:tabs>
          <w:tab w:leader="none" w:pos="19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Each of the Loan Parties hereby represents and warrants to the Lenders as follows:</w:t>
      </w:r>
    </w:p>
    <w:p>
      <w:pPr>
        <w:spacing w:after="0" w:line="188" w:lineRule="exact"/>
        <w:rPr>
          <w:rFonts w:ascii="Arial" w:cs="Arial" w:eastAsia="Arial" w:hAnsi="Arial"/>
          <w:sz w:val="20"/>
          <w:szCs w:val="20"/>
          <w:color w:val="auto"/>
        </w:rPr>
      </w:pPr>
    </w:p>
    <w:p>
      <w:pPr>
        <w:jc w:val="both"/>
        <w:ind w:left="1300" w:firstLine="652"/>
        <w:spacing w:after="0" w:line="223" w:lineRule="auto"/>
        <w:tabs>
          <w:tab w:leader="none" w:pos="2382"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the execution, delivery and performance by such Loan Party of this Amendment are within such Loan Party’s organizational powers and have been duly authorized by all necessary organizational, and if required, shareholder, partner or member, action, as applicable;</w:t>
      </w:r>
    </w:p>
    <w:p>
      <w:pPr>
        <w:spacing w:after="0" w:line="195" w:lineRule="exact"/>
        <w:rPr>
          <w:rFonts w:ascii="Arial" w:cs="Arial" w:eastAsia="Arial" w:hAnsi="Arial"/>
          <w:sz w:val="20"/>
          <w:szCs w:val="20"/>
          <w:color w:val="auto"/>
        </w:rPr>
      </w:pPr>
    </w:p>
    <w:p>
      <w:pPr>
        <w:jc w:val="both"/>
        <w:ind w:left="1300" w:firstLine="652"/>
        <w:spacing w:after="0" w:line="220" w:lineRule="auto"/>
        <w:tabs>
          <w:tab w:leader="none" w:pos="2449"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such Loan Party and constitutes a legal, valid and binding obligation of such Loan Party, enforceable against such Loan Party in accordance with its terms, except as may be limited by applicable bankruptcy, insolvency, reorganization, moratorium, or similar laws affecting the enforcement of creditors’ rights generally and by general principles of equity;</w:t>
      </w:r>
    </w:p>
    <w:p>
      <w:pPr>
        <w:spacing w:after="0" w:line="182" w:lineRule="exact"/>
        <w:rPr>
          <w:rFonts w:ascii="Arial" w:cs="Arial" w:eastAsia="Arial" w:hAnsi="Arial"/>
          <w:sz w:val="20"/>
          <w:szCs w:val="20"/>
          <w:color w:val="auto"/>
        </w:rPr>
      </w:pPr>
    </w:p>
    <w:p>
      <w:pPr>
        <w:jc w:val="both"/>
        <w:ind w:left="1300" w:firstLine="652"/>
        <w:spacing w:after="0" w:line="227" w:lineRule="auto"/>
        <w:tabs>
          <w:tab w:leader="none" w:pos="2460"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the execution, delivery and performance by such Loan Party of this Amendment do not require any consent or approval of, registration or filing with, notice to, or any action by, any Governmental Authority, except those as have been obtained or made and are in full force and effect;</w:t>
      </w:r>
    </w:p>
    <w:p>
      <w:pPr>
        <w:spacing w:after="0" w:line="184" w:lineRule="exact"/>
        <w:rPr>
          <w:rFonts w:ascii="Arial" w:cs="Arial" w:eastAsia="Arial" w:hAnsi="Arial"/>
          <w:sz w:val="20"/>
          <w:szCs w:val="20"/>
          <w:color w:val="auto"/>
        </w:rPr>
      </w:pPr>
    </w:p>
    <w:p>
      <w:pPr>
        <w:jc w:val="both"/>
        <w:ind w:left="1300" w:firstLine="652"/>
        <w:spacing w:after="0" w:line="225" w:lineRule="auto"/>
        <w:tabs>
          <w:tab w:leader="none" w:pos="2496" w:val="left"/>
        </w:tabs>
        <w:numPr>
          <w:ilvl w:val="2"/>
          <w:numId w:val="25"/>
        </w:numPr>
        <w:rPr>
          <w:rFonts w:ascii="Arial" w:cs="Arial" w:eastAsia="Arial" w:hAnsi="Arial"/>
          <w:sz w:val="19"/>
          <w:szCs w:val="19"/>
          <w:color w:val="auto"/>
        </w:rPr>
      </w:pPr>
      <w:r>
        <w:rPr>
          <w:rFonts w:ascii="Arial" w:cs="Arial" w:eastAsia="Arial" w:hAnsi="Arial"/>
          <w:sz w:val="19"/>
          <w:szCs w:val="19"/>
          <w:color w:val="auto"/>
        </w:rPr>
        <w:t>after giving effect to this Amendment, all representations and warranties of each Loan Party set forth in the Loan Documents are true and correct in all material respects (other than those representations and warranties that are expressly qualified by a Material Adverse Effect or other materiality, in which case such representations and warranties shall be true and correct in all respects) except to the extent that such representations and warranties specifically refer to an earlier date, in which case they are true and correct in all material respects (other than those representations and warranties that are expressly qualified by a Material Adverse Effect or other materiality, in which case such representations and warranties are true and correct in all respects) as of such earlier date; and</w:t>
      </w:r>
    </w:p>
    <w:p>
      <w:pPr>
        <w:spacing w:after="0" w:line="199" w:lineRule="exact"/>
        <w:rPr>
          <w:rFonts w:ascii="Arial" w:cs="Arial" w:eastAsia="Arial" w:hAnsi="Arial"/>
          <w:sz w:val="19"/>
          <w:szCs w:val="19"/>
          <w:color w:val="auto"/>
        </w:rPr>
      </w:pPr>
    </w:p>
    <w:p>
      <w:pPr>
        <w:ind w:left="2380" w:hanging="428"/>
        <w:spacing w:after="0"/>
        <w:tabs>
          <w:tab w:leader="none" w:pos="2380" w:val="left"/>
        </w:tabs>
        <w:numPr>
          <w:ilvl w:val="2"/>
          <w:numId w:val="25"/>
        </w:numPr>
        <w:rPr>
          <w:rFonts w:ascii="Arial" w:cs="Arial" w:eastAsia="Arial" w:hAnsi="Arial"/>
          <w:sz w:val="20"/>
          <w:szCs w:val="20"/>
          <w:color w:val="auto"/>
        </w:rPr>
      </w:pPr>
      <w:r>
        <w:rPr>
          <w:rFonts w:ascii="Arial" w:cs="Arial" w:eastAsia="Arial" w:hAnsi="Arial"/>
          <w:sz w:val="20"/>
          <w:szCs w:val="20"/>
          <w:color w:val="auto"/>
        </w:rPr>
        <w:t>after giving effect to this Amendment, no Default or Event of Default exists.</w:t>
      </w:r>
    </w:p>
    <w:p>
      <w:pPr>
        <w:spacing w:after="0" w:line="188" w:lineRule="exact"/>
        <w:rPr>
          <w:rFonts w:ascii="Arial" w:cs="Arial" w:eastAsia="Arial" w:hAnsi="Arial"/>
          <w:sz w:val="20"/>
          <w:szCs w:val="20"/>
          <w:color w:val="auto"/>
        </w:rPr>
      </w:pPr>
    </w:p>
    <w:p>
      <w:pPr>
        <w:jc w:val="both"/>
        <w:ind w:left="660" w:firstLine="644"/>
        <w:spacing w:after="0" w:line="215" w:lineRule="auto"/>
        <w:tabs>
          <w:tab w:leader="none" w:pos="1956"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that is an Electronic Signature transmitted by telecopy, emailed pdf. or any other electronic means that reproduces an image of an actual executed signature page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CHAR1\1989129v3</w:t>
      </w:r>
    </w:p>
    <w:p>
      <w:pPr>
        <w:sectPr>
          <w:pgSz w:w="11900" w:h="16838" w:orient="portrait"/>
          <w:cols w:equalWidth="0" w:num="1">
            <w:col w:w="11240"/>
          </w:cols>
          <w:pgMar w:left="320" w:top="1405" w:right="339" w:bottom="1440" w:gutter="0" w:footer="0" w:header="0"/>
        </w:sectPr>
      </w:pPr>
    </w:p>
    <w:bookmarkStart w:id="40" w:name="page41"/>
    <w:bookmarkEnd w:id="40"/>
    <w:p>
      <w:pPr>
        <w:jc w:val="both"/>
        <w:ind w:left="660" w:firstLine="644"/>
        <w:spacing w:after="0" w:line="218" w:lineRule="auto"/>
        <w:tabs>
          <w:tab w:leader="none" w:pos="1956"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NEW YORK.</w:t>
      </w:r>
    </w:p>
    <w:p>
      <w:pPr>
        <w:spacing w:after="0" w:line="157" w:lineRule="exact"/>
        <w:rPr>
          <w:rFonts w:ascii="Arial" w:cs="Arial" w:eastAsia="Arial" w:hAnsi="Arial"/>
          <w:sz w:val="20"/>
          <w:szCs w:val="20"/>
          <w:color w:val="auto"/>
        </w:rPr>
      </w:pPr>
    </w:p>
    <w:p>
      <w:pPr>
        <w:ind w:left="1020" w:hanging="36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modified hereby, all of the terms and provisions of the Loan Documents shall remain in full force</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CHAR1\1989129v3</w:t>
      </w:r>
    </w:p>
    <w:p>
      <w:pPr>
        <w:sectPr>
          <w:pgSz w:w="11900" w:h="16838" w:orient="portrait"/>
          <w:cols w:equalWidth="0" w:num="1">
            <w:col w:w="11240"/>
          </w:cols>
          <w:pgMar w:left="320" w:top="1405" w:right="339" w:bottom="1440" w:gutter="0" w:footer="0" w:header="0"/>
        </w:sectPr>
      </w:pPr>
    </w:p>
    <w:bookmarkStart w:id="41" w:name="page42"/>
    <w:bookmarkEnd w:id="41"/>
    <w:p>
      <w:pPr>
        <w:jc w:val="center"/>
        <w:ind w:right="420"/>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pacing w:after="0" w:line="26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PROGRESSIVE FINANCE HOLDINGS, LLC,</w:t>
      </w:r>
    </w:p>
    <w:p>
      <w:pPr>
        <w:ind w:left="33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51" w:lineRule="exact"/>
        <w:rPr>
          <w:sz w:val="20"/>
          <w:szCs w:val="20"/>
          <w:color w:val="auto"/>
        </w:rPr>
      </w:pPr>
    </w:p>
    <w:p>
      <w:pPr>
        <w:ind w:left="362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15875</wp:posOffset>
            </wp:positionV>
            <wp:extent cx="2023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Name: Brian Garner Title:</w:t>
      </w:r>
    </w:p>
    <w:p>
      <w:pPr>
        <w:ind w:left="404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PROG HOLDINGS, INC. (F/K/A AARON’S</w:t>
      </w:r>
    </w:p>
    <w:p>
      <w:pPr>
        <w:ind w:left="3300"/>
        <w:spacing w:after="0" w:line="197" w:lineRule="auto"/>
        <w:rPr>
          <w:sz w:val="20"/>
          <w:szCs w:val="20"/>
          <w:color w:val="auto"/>
        </w:rPr>
      </w:pPr>
      <w:r>
        <w:rPr>
          <w:rFonts w:ascii="Arial" w:cs="Arial" w:eastAsia="Arial" w:hAnsi="Arial"/>
          <w:sz w:val="20"/>
          <w:szCs w:val="20"/>
          <w:color w:val="auto"/>
        </w:rPr>
        <w:t>HOLDINGS COMPANY, INC.),</w:t>
      </w:r>
    </w:p>
    <w:p>
      <w:pPr>
        <w:ind w:left="33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51" w:lineRule="exact"/>
        <w:rPr>
          <w:sz w:val="20"/>
          <w:szCs w:val="20"/>
          <w:color w:val="auto"/>
        </w:rPr>
      </w:pPr>
    </w:p>
    <w:p>
      <w:pPr>
        <w:ind w:left="362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15875</wp:posOffset>
            </wp:positionV>
            <wp:extent cx="2023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Name: Brian Garner Title:</w:t>
      </w:r>
    </w:p>
    <w:p>
      <w:pPr>
        <w:ind w:left="404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AARON’S PROGRESSIVE HOLDING</w:t>
      </w:r>
    </w:p>
    <w:p>
      <w:pPr>
        <w:ind w:left="3300"/>
        <w:spacing w:after="0" w:line="197" w:lineRule="auto"/>
        <w:rPr>
          <w:sz w:val="20"/>
          <w:szCs w:val="20"/>
          <w:color w:val="auto"/>
        </w:rPr>
      </w:pPr>
      <w:r>
        <w:rPr>
          <w:rFonts w:ascii="Arial" w:cs="Arial" w:eastAsia="Arial" w:hAnsi="Arial"/>
          <w:sz w:val="20"/>
          <w:szCs w:val="20"/>
          <w:color w:val="auto"/>
        </w:rPr>
        <w:t>COMPANY,</w:t>
      </w:r>
    </w:p>
    <w:p>
      <w:pPr>
        <w:ind w:left="33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51" w:lineRule="exact"/>
        <w:rPr>
          <w:sz w:val="20"/>
          <w:szCs w:val="20"/>
          <w:color w:val="auto"/>
        </w:rPr>
      </w:pPr>
    </w:p>
    <w:p>
      <w:pPr>
        <w:ind w:left="362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15875</wp:posOffset>
            </wp:positionV>
            <wp:extent cx="2023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Name: Brian Garner Title:</w:t>
      </w:r>
    </w:p>
    <w:p>
      <w:pPr>
        <w:ind w:left="404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PROG LEASING, LLC,</w:t>
      </w:r>
    </w:p>
    <w:p>
      <w:pPr>
        <w:ind w:left="33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51" w:lineRule="exact"/>
        <w:rPr>
          <w:sz w:val="20"/>
          <w:szCs w:val="20"/>
          <w:color w:val="auto"/>
        </w:rPr>
      </w:pPr>
    </w:p>
    <w:p>
      <w:pPr>
        <w:ind w:left="362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15875</wp:posOffset>
            </wp:positionV>
            <wp:extent cx="2023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Name: Brian Garner Title:</w:t>
      </w:r>
    </w:p>
    <w:p>
      <w:pPr>
        <w:ind w:left="404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APPROVE.ME, LLC,</w:t>
      </w:r>
    </w:p>
    <w:p>
      <w:pPr>
        <w:ind w:left="330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62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15875</wp:posOffset>
            </wp:positionV>
            <wp:extent cx="2023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Name: Brian Garner Title:</w:t>
      </w:r>
    </w:p>
    <w:p>
      <w:pPr>
        <w:ind w:left="404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580"/>
          </w:cols>
          <w:pgMar w:left="980" w:top="1405" w:right="339" w:bottom="1440" w:gutter="0" w:footer="0" w:header="0"/>
        </w:sectPr>
      </w:pPr>
    </w:p>
    <w:bookmarkStart w:id="42" w:name="page43"/>
    <w:bookmarkEnd w:id="42"/>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AM2 ENTERPRISES,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ARIZONA,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CALIFORNIA,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FLORIDA,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GEORGIA,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3" w:name="page44"/>
    <w:bookmarkEnd w:id="43"/>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ILLINOIS,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PROGRESSIVE FINANCE HOLDINGS, LLC</w:t>
      </w: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4" w:name="page45"/>
    <w:bookmarkEnd w:id="44"/>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MICHIGAN,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NEW YORK,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OHIO,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TEXAS,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MID-WEST,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PROGRESSIVE FINANCE HOLDINGS, LLC</w:t>
      </w: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5" w:name="page46"/>
    <w:bookmarkEnd w:id="45"/>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NORTH-EAST,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100"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SOUTH-EAST,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43"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NPRTO WEST, LLC,</w:t>
      </w:r>
    </w:p>
    <w:p>
      <w:pPr>
        <w:ind w:left="2840"/>
        <w:spacing w:after="0"/>
        <w:rPr>
          <w:sz w:val="20"/>
          <w:szCs w:val="20"/>
          <w:color w:val="auto"/>
        </w:rPr>
      </w:pPr>
      <w:r>
        <w:rPr>
          <w:rFonts w:ascii="Arial" w:cs="Arial" w:eastAsia="Arial" w:hAnsi="Arial"/>
          <w:sz w:val="20"/>
          <w:szCs w:val="20"/>
          <w:color w:val="auto"/>
        </w:rPr>
        <w:t>a Utah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357"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PROG LEASING LLC,</w:t>
      </w:r>
    </w:p>
    <w:p>
      <w:pPr>
        <w:ind w:left="28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386"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VIVE FINANCIAL LLC,</w:t>
      </w:r>
    </w:p>
    <w:p>
      <w:pPr>
        <w:ind w:left="28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Brian Garner Title:</w:t>
      </w:r>
    </w:p>
    <w:p>
      <w:pPr>
        <w:ind w:left="358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6" w:name="page47"/>
    <w:bookmarkEnd w:id="46"/>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JPMORGAN CHASE BANK, N.A.,</w:t>
      </w:r>
    </w:p>
    <w:p>
      <w:pPr>
        <w:ind w:left="2840"/>
        <w:spacing w:after="0" w:line="197" w:lineRule="auto"/>
        <w:rPr>
          <w:sz w:val="20"/>
          <w:szCs w:val="20"/>
          <w:color w:val="auto"/>
        </w:rPr>
      </w:pPr>
      <w:r>
        <w:rPr>
          <w:rFonts w:ascii="Arial" w:cs="Arial" w:eastAsia="Arial" w:hAnsi="Arial"/>
          <w:sz w:val="20"/>
          <w:szCs w:val="20"/>
          <w:color w:val="auto"/>
        </w:rPr>
        <w:t>individually, as an Issuing Bank and as</w:t>
      </w:r>
    </w:p>
    <w:p>
      <w:pPr>
        <w:ind w:left="284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Andrew Rossman Title:</w:t>
      </w:r>
    </w:p>
    <w:p>
      <w:pPr>
        <w:ind w:left="358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7" w:name="page48"/>
    <w:bookmarkEnd w:id="47"/>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BANK OF AMERICA, N.A.,</w:t>
      </w:r>
    </w:p>
    <w:p>
      <w:pPr>
        <w:ind w:left="2840"/>
        <w:spacing w:after="0"/>
        <w:rPr>
          <w:sz w:val="20"/>
          <w:szCs w:val="20"/>
          <w:color w:val="auto"/>
        </w:rPr>
      </w:pPr>
      <w:r>
        <w:rPr>
          <w:rFonts w:ascii="Arial" w:cs="Arial" w:eastAsia="Arial" w:hAnsi="Arial"/>
          <w:sz w:val="20"/>
          <w:szCs w:val="20"/>
          <w:color w:val="auto"/>
        </w:rPr>
        <w:t>as a Lender and an Issuing Bank</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Ryan Maples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Ryan Maples Title: Sr. Vice</w:t>
      </w:r>
    </w:p>
    <w:p>
      <w:pPr>
        <w:ind w:left="358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8" w:name="page49"/>
    <w:bookmarkEnd w:id="48"/>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CITIZENS BANK, N.A.,</w:t>
      </w:r>
    </w:p>
    <w:p>
      <w:pPr>
        <w:ind w:left="2840"/>
        <w:spacing w:after="0"/>
        <w:rPr>
          <w:sz w:val="20"/>
          <w:szCs w:val="20"/>
          <w:color w:val="auto"/>
        </w:rPr>
      </w:pPr>
      <w:r>
        <w:rPr>
          <w:rFonts w:ascii="Arial" w:cs="Arial" w:eastAsia="Arial" w:hAnsi="Arial"/>
          <w:sz w:val="20"/>
          <w:szCs w:val="20"/>
          <w:color w:val="auto"/>
        </w:rPr>
        <w:t>as a Lender and an Issuing Bank</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Christopher Domanico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Christopher Domanico</w:t>
      </w:r>
    </w:p>
    <w:p>
      <w:pPr>
        <w:ind w:left="35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PROGRESSIVE FINANCE HOLDINGS, LLC</w:t>
      </w: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49" w:name="page50"/>
    <w:bookmarkEnd w:id="49"/>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TRUIST BANK,</w:t>
      </w:r>
    </w:p>
    <w:p>
      <w:pPr>
        <w:ind w:left="2840"/>
        <w:spacing w:after="0"/>
        <w:rPr>
          <w:sz w:val="20"/>
          <w:szCs w:val="20"/>
          <w:color w:val="auto"/>
        </w:rPr>
      </w:pPr>
      <w:r>
        <w:rPr>
          <w:rFonts w:ascii="Arial" w:cs="Arial" w:eastAsia="Arial" w:hAnsi="Arial"/>
          <w:sz w:val="20"/>
          <w:szCs w:val="20"/>
          <w:color w:val="auto"/>
        </w:rPr>
        <w:t>as a Lender and an Issuing Bank</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Richard W. Jantzen,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Richard W. Jantzen, III</w:t>
      </w:r>
    </w:p>
    <w:p>
      <w:pPr>
        <w:ind w:left="3580"/>
        <w:spacing w:after="0"/>
        <w:rPr>
          <w:sz w:val="20"/>
          <w:szCs w:val="20"/>
          <w:color w:val="auto"/>
        </w:rPr>
      </w:pPr>
      <w:r>
        <w:rPr>
          <w:rFonts w:ascii="Arial" w:cs="Arial" w:eastAsia="Arial" w:hAnsi="Arial"/>
          <w:sz w:val="22"/>
          <w:szCs w:val="22"/>
          <w:color w:val="auto"/>
        </w:rPr>
        <w:t>Title:Director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PROGRESSIVE FINANCE HOLDINGS, LLC</w:t>
      </w: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50" w:name="page51"/>
    <w:bookmarkEnd w:id="50"/>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PNC BANK, NATIONAL ASSOCIATION,</w:t>
      </w:r>
    </w:p>
    <w:p>
      <w:pPr>
        <w:ind w:left="284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Peter McKernan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Peter McKernan Title: Sr.</w:t>
      </w:r>
    </w:p>
    <w:p>
      <w:pPr>
        <w:ind w:left="358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51" w:name="page52"/>
    <w:bookmarkEnd w:id="51"/>
    <w:p>
      <w:pPr>
        <w:spacing w:after="0" w:line="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FIRST HORIZON BANK,</w:t>
      </w:r>
    </w:p>
    <w:p>
      <w:pPr>
        <w:ind w:left="284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51"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Terence J Dolch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15875</wp:posOffset>
            </wp:positionV>
            <wp:extent cx="2023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Name: Terence J Dolch Title:</w:t>
      </w:r>
    </w:p>
    <w:p>
      <w:pPr>
        <w:ind w:left="3580"/>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40"/>
        <w:spacing w:after="0"/>
        <w:rPr>
          <w:sz w:val="20"/>
          <w:szCs w:val="20"/>
          <w:color w:val="auto"/>
        </w:rPr>
      </w:pPr>
      <w:r>
        <w:rPr>
          <w:rFonts w:ascii="Arial" w:cs="Arial" w:eastAsia="Arial" w:hAnsi="Arial"/>
          <w:sz w:val="15"/>
          <w:szCs w:val="15"/>
          <w:color w:val="auto"/>
        </w:rPr>
        <w:t>PROGRESSIVE FINANCE HOLDINGS, LLC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SECOND AMENDMENT TO CREDIT AGREEMENT</w:t>
      </w:r>
    </w:p>
    <w:p>
      <w:pPr>
        <w:sectPr>
          <w:pgSz w:w="11900" w:h="16838" w:orient="portrait"/>
          <w:cols w:equalWidth="0" w:num="1">
            <w:col w:w="10120"/>
          </w:cols>
          <w:pgMar w:left="1440" w:top="144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A. Michaels, certify that:</w:t>
      </w:r>
    </w:p>
    <w:p>
      <w:pPr>
        <w:spacing w:after="0" w:line="77" w:lineRule="exact"/>
        <w:rPr>
          <w:sz w:val="20"/>
          <w:szCs w:val="20"/>
          <w:color w:val="auto"/>
        </w:rPr>
      </w:pPr>
    </w:p>
    <w:p>
      <w:pPr>
        <w:ind w:left="460" w:hanging="44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60" w:right="1140" w:hanging="440"/>
        <w:spacing w:after="0" w:line="22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60" w:right="1240" w:hanging="440"/>
        <w:spacing w:after="0" w:line="22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8"/>
          <w:szCs w:val="18"/>
          <w:color w:val="auto"/>
        </w:rPr>
      </w:pPr>
    </w:p>
    <w:p>
      <w:pPr>
        <w:jc w:val="both"/>
        <w:ind w:left="460" w:right="1280" w:hanging="440"/>
        <w:spacing w:after="0" w:line="245"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7"/>
          <w:szCs w:val="17"/>
          <w:color w:val="auto"/>
        </w:rPr>
      </w:pPr>
    </w:p>
    <w:p>
      <w:pPr>
        <w:ind w:left="940" w:right="1140" w:hanging="489"/>
        <w:spacing w:after="0" w:line="223"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940" w:right="1180" w:hanging="489"/>
        <w:spacing w:after="0" w:line="223"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940" w:right="1380" w:hanging="489"/>
        <w:spacing w:after="0" w:line="229"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940" w:right="1480" w:hanging="489"/>
        <w:spacing w:after="0" w:line="229" w:lineRule="auto"/>
        <w:tabs>
          <w:tab w:leader="none" w:pos="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460" w:right="1340" w:hanging="440"/>
        <w:spacing w:after="0" w:line="22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5" w:lineRule="exact"/>
        <w:rPr>
          <w:rFonts w:ascii="Arial" w:cs="Arial" w:eastAsia="Arial" w:hAnsi="Arial"/>
          <w:sz w:val="18"/>
          <w:szCs w:val="18"/>
          <w:color w:val="auto"/>
        </w:rPr>
      </w:pPr>
    </w:p>
    <w:p>
      <w:pPr>
        <w:ind w:left="1060" w:right="1380" w:hanging="609"/>
        <w:spacing w:after="0" w:line="229" w:lineRule="auto"/>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060" w:right="1160" w:hanging="609"/>
        <w:spacing w:after="0" w:line="235" w:lineRule="auto"/>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20"/>
        <w:spacing w:after="0"/>
        <w:tabs>
          <w:tab w:leader="none" w:pos="1060" w:val="left"/>
          <w:tab w:leader="none" w:pos="5540" w:val="left"/>
        </w:tabs>
        <w:rPr>
          <w:sz w:val="20"/>
          <w:szCs w:val="20"/>
          <w:color w:val="auto"/>
        </w:rPr>
      </w:pPr>
      <w:r>
        <w:rPr>
          <w:rFonts w:ascii="Arial" w:cs="Arial" w:eastAsia="Arial" w:hAnsi="Arial"/>
          <w:sz w:val="18"/>
          <w:szCs w:val="18"/>
          <w:color w:val="auto"/>
        </w:rPr>
        <w:t>Date:</w:t>
        <w:tab/>
        <w:t>July 26, 2023</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23495</wp:posOffset>
            </wp:positionV>
            <wp:extent cx="18942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Steven A. Michaels</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20"/>
          </w:cols>
          <w:pgMar w:left="1440" w:top="93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85"/>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45"/>
        <w:spacing w:after="0"/>
        <w:rPr>
          <w:sz w:val="20"/>
          <w:szCs w:val="20"/>
          <w:color w:val="auto"/>
        </w:rPr>
      </w:pPr>
      <w:r>
        <w:rPr>
          <w:rFonts w:ascii="Arial" w:cs="Arial" w:eastAsia="Arial" w:hAnsi="Arial"/>
          <w:sz w:val="18"/>
          <w:szCs w:val="18"/>
          <w:color w:val="auto"/>
        </w:rPr>
        <w:t>I, Brian Garner, certify that:</w:t>
      </w:r>
    </w:p>
    <w:p>
      <w:pPr>
        <w:spacing w:after="0" w:line="77" w:lineRule="exact"/>
        <w:rPr>
          <w:sz w:val="20"/>
          <w:szCs w:val="20"/>
          <w:color w:val="auto"/>
        </w:rPr>
      </w:pPr>
    </w:p>
    <w:p>
      <w:pPr>
        <w:ind w:left="445" w:hanging="445"/>
        <w:spacing w:after="0"/>
        <w:tabs>
          <w:tab w:leader="none" w:pos="4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45" w:right="1260" w:hanging="445"/>
        <w:spacing w:after="0" w:line="229" w:lineRule="auto"/>
        <w:tabs>
          <w:tab w:leader="none" w:pos="4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5" w:right="1040" w:hanging="445"/>
        <w:spacing w:after="0" w:line="229" w:lineRule="auto"/>
        <w:tabs>
          <w:tab w:leader="none" w:pos="4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8"/>
          <w:szCs w:val="18"/>
          <w:color w:val="auto"/>
        </w:rPr>
      </w:pPr>
    </w:p>
    <w:p>
      <w:pPr>
        <w:ind w:left="445" w:right="1160" w:hanging="445"/>
        <w:spacing w:after="0" w:line="245" w:lineRule="auto"/>
        <w:tabs>
          <w:tab w:leader="none" w:pos="4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7"/>
          <w:szCs w:val="17"/>
          <w:color w:val="auto"/>
        </w:rPr>
      </w:pPr>
    </w:p>
    <w:p>
      <w:pPr>
        <w:ind w:left="945" w:right="1300" w:hanging="510"/>
        <w:spacing w:after="0" w:line="223"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945" w:right="1020" w:hanging="510"/>
        <w:spacing w:after="0" w:line="223"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945" w:right="1160" w:hanging="510"/>
        <w:spacing w:after="0" w:line="229"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945" w:right="1060" w:hanging="510"/>
        <w:spacing w:after="0" w:line="229"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445" w:right="1100" w:hanging="445"/>
        <w:spacing w:after="0" w:line="229" w:lineRule="auto"/>
        <w:tabs>
          <w:tab w:leader="none" w:pos="4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5" w:lineRule="exact"/>
        <w:rPr>
          <w:rFonts w:ascii="Arial" w:cs="Arial" w:eastAsia="Arial" w:hAnsi="Arial"/>
          <w:sz w:val="18"/>
          <w:szCs w:val="18"/>
          <w:color w:val="auto"/>
        </w:rPr>
      </w:pPr>
    </w:p>
    <w:p>
      <w:pPr>
        <w:ind w:left="1065" w:right="1000" w:hanging="630"/>
        <w:spacing w:after="0" w:line="229" w:lineRule="auto"/>
        <w:tabs>
          <w:tab w:leader="none" w:pos="10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065" w:right="1080" w:hanging="630"/>
        <w:spacing w:after="0" w:line="235" w:lineRule="auto"/>
        <w:tabs>
          <w:tab w:leader="none" w:pos="10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65"/>
        <w:spacing w:after="0"/>
        <w:tabs>
          <w:tab w:leader="none" w:pos="1304" w:val="left"/>
          <w:tab w:leader="none" w:pos="5864" w:val="left"/>
        </w:tabs>
        <w:rPr>
          <w:sz w:val="20"/>
          <w:szCs w:val="20"/>
          <w:color w:val="auto"/>
        </w:rPr>
      </w:pPr>
      <w:r>
        <w:rPr>
          <w:rFonts w:ascii="Arial" w:cs="Arial" w:eastAsia="Arial" w:hAnsi="Arial"/>
          <w:sz w:val="18"/>
          <w:szCs w:val="18"/>
          <w:color w:val="auto"/>
        </w:rPr>
        <w:t>Date:</w:t>
        <w:tab/>
        <w:t>July 26, 2023</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23495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3" w:lineRule="exact"/>
        <w:rPr>
          <w:sz w:val="20"/>
          <w:szCs w:val="20"/>
          <w:color w:val="auto"/>
        </w:rPr>
      </w:pPr>
    </w:p>
    <w:p>
      <w:pPr>
        <w:ind w:left="5885"/>
        <w:spacing w:after="0"/>
        <w:rPr>
          <w:sz w:val="20"/>
          <w:szCs w:val="20"/>
          <w:color w:val="auto"/>
        </w:rPr>
      </w:pPr>
      <w:r>
        <w:rPr>
          <w:rFonts w:ascii="Arial" w:cs="Arial" w:eastAsia="Arial" w:hAnsi="Arial"/>
          <w:sz w:val="18"/>
          <w:szCs w:val="18"/>
          <w:color w:val="auto"/>
        </w:rPr>
        <w:t>Brian Garner</w:t>
      </w:r>
    </w:p>
    <w:p>
      <w:pPr>
        <w:spacing w:after="0" w:line="36" w:lineRule="exact"/>
        <w:rPr>
          <w:sz w:val="20"/>
          <w:szCs w:val="20"/>
          <w:color w:val="auto"/>
        </w:rPr>
      </w:pPr>
    </w:p>
    <w:p>
      <w:pPr>
        <w:ind w:left="5885"/>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25"/>
          </w:cols>
          <w:pgMar w:left="1335"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97"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spacing w:after="0"/>
        <w:tabs>
          <w:tab w:leader="none" w:pos="640" w:val="left"/>
          <w:tab w:leader="none" w:pos="7580" w:val="left"/>
        </w:tabs>
        <w:rPr>
          <w:sz w:val="20"/>
          <w:szCs w:val="20"/>
          <w:color w:val="auto"/>
        </w:rPr>
      </w:pPr>
      <w:r>
        <w:rPr>
          <w:rFonts w:ascii="Arial" w:cs="Arial" w:eastAsia="Arial" w:hAnsi="Arial"/>
          <w:sz w:val="18"/>
          <w:szCs w:val="18"/>
          <w:color w:val="auto"/>
        </w:rPr>
        <w:t>Date:</w:t>
        <w:tab/>
        <w:t>July 26, 2023</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4810125</wp:posOffset>
            </wp:positionH>
            <wp:positionV relativeFrom="paragraph">
              <wp:posOffset>14605</wp:posOffset>
            </wp:positionV>
            <wp:extent cx="2005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Steven A. Michaels</w:t>
      </w:r>
    </w:p>
    <w:p>
      <w:pPr>
        <w:spacing w:after="0" w:line="3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4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Brian Garner, Chief Financial Officer of PROG Holdings, Inc. (the "Company"), certify, pursuant to Section 906 of the Sarbanes-Oxley Act of 2002,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spacing w:after="0"/>
        <w:tabs>
          <w:tab w:leader="none" w:pos="640" w:val="left"/>
          <w:tab w:leader="none" w:pos="7640" w:val="left"/>
        </w:tabs>
        <w:rPr>
          <w:sz w:val="20"/>
          <w:szCs w:val="20"/>
          <w:color w:val="auto"/>
        </w:rPr>
      </w:pPr>
      <w:r>
        <w:rPr>
          <w:rFonts w:ascii="Arial" w:cs="Arial" w:eastAsia="Arial" w:hAnsi="Arial"/>
          <w:sz w:val="18"/>
          <w:szCs w:val="18"/>
          <w:color w:val="auto"/>
        </w:rPr>
        <w:t>Date:</w:t>
        <w:tab/>
        <w:t>July 26, 2023</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14605</wp:posOffset>
            </wp:positionV>
            <wp:extent cx="20828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Brian Garner</w:t>
      </w:r>
    </w:p>
    <w:p>
      <w:pPr>
        <w:spacing w:after="0" w:line="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4"/>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1"/>
      <w:numFmt w:val="decimal"/>
      <w:start w:val="104"/>
    </w:lvl>
  </w:abstractNum>
  <w:abstractNum w:abstractNumId="22">
    <w:nsid w:val="B03E0C6"/>
    <w:multiLevelType w:val="hybridMultilevel"/>
    <w:lvl w:ilvl="0">
      <w:lvlJc w:val="left"/>
      <w:lvlText w:val="%1."/>
      <w:numFmt w:val="decimal"/>
      <w:start w:val="1"/>
    </w:lvl>
    <w:lvl w:ilvl="1">
      <w:lvlJc w:val="left"/>
      <w:lvlText w:val="(%2)"/>
      <w:numFmt w:val="lowerLetter"/>
      <w:start w:val="1"/>
    </w:lvl>
  </w:abstractNum>
  <w:abstractNum w:abstractNumId="23">
    <w:nsid w:val="189A769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4">
    <w:nsid w:val="54E49EB4"/>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5">
    <w:nsid w:val="71F32454"/>
    <w:multiLevelType w:val="hybridMultilevel"/>
    <w:lvl w:ilvl="0">
      <w:lvlJc w:val="left"/>
      <w:lvlText w:val="%1"/>
      <w:numFmt w:val="decimal"/>
      <w:start w:val="1"/>
    </w:lvl>
    <w:lvl w:ilvl="1">
      <w:lvlJc w:val="left"/>
      <w:lvlText w:val="(%2)"/>
      <w:numFmt w:val="lowerLetter"/>
      <w:start w:val="7"/>
    </w:lvl>
  </w:abstractNum>
  <w:abstractNum w:abstractNumId="26">
    <w:nsid w:val="2CA88611"/>
    <w:multiLevelType w:val="hybridMultilevel"/>
    <w:lvl w:ilvl="0">
      <w:lvlJc w:val="left"/>
      <w:lvlText w:val="%1."/>
      <w:numFmt w:val="decimal"/>
      <w:start w:val="6"/>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2023-07-26T08:27:15Z</dcterms:created>
  <dcterms:modified xsi:type="dcterms:W3CDTF">2023-07-26T08:27:15Z</dcterms:modified>
</cp:coreProperties>
</file>