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60" w:after="283"/>
        <w:jc w:val="center"/>
        <w:rPr>
          <w:color w:val="000000"/>
        </w:rPr>
      </w:pPr>
      <w:r>
        <w:rPr>
          <w:color w:val="000000"/>
        </w:rPr>
        <w:t> </w:t>
      </w:r>
      <w:r>
        <w:rPr>
          <w:rFonts w:ascii="Times New Roman;sans-serif" w:hAnsi="Times New Roman;sans-serif"/>
          <w:b w:val="false"/>
          <w:color w:val="000000"/>
          <w:sz w:val="18"/>
        </w:rPr>
        <w:t>________________________________</w:t>
      </w:r>
    </w:p>
    <w:p>
      <w:pPr>
        <w:pStyle w:val="TextBody"/>
        <w:spacing w:lineRule="auto" w:line="288" w:before="60" w:after="283"/>
        <w:jc w:val="center"/>
        <w:rPr/>
      </w:pPr>
      <w:r>
        <w:rPr>
          <w:color w:val="000000"/>
        </w:rPr>
        <w:t> </w:t>
      </w:r>
      <w:r>
        <w:rPr>
          <w:rFonts w:ascii="Times New Roman;sans-serif" w:hAnsi="Times New Roman;sans-serif"/>
          <w:b/>
          <w:color w:val="000000"/>
          <w:sz w:val="36"/>
        </w:rPr>
        <w:t xml:space="preserve">FORM 10-Q </w:t>
      </w:r>
    </w:p>
    <w:p>
      <w:pPr>
        <w:pStyle w:val="TextBody"/>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0" w:after="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1-39628 </w:t>
      </w:r>
    </w:p>
    <w:p>
      <w:pPr>
        <w:pStyle w:val="TextBody"/>
        <w:spacing w:lineRule="auto" w:line="288" w:before="60" w:after="283"/>
        <w:jc w:val="center"/>
        <w:rPr>
          <w:color w:val="000000"/>
        </w:rPr>
      </w:pPr>
      <w:r>
        <w:rPr>
          <w:color w:val="000000"/>
        </w:rPr>
        <w:t> </w:t>
      </w:r>
      <w:r>
        <w:rPr>
          <w:rFonts w:ascii="Times New Roman;sans-serif" w:hAnsi="Times New Roman;sans-serif"/>
          <w:b/>
          <w:color w:val="000000"/>
          <w:sz w:val="18"/>
        </w:rPr>
        <w:t>________________________________</w:t>
      </w:r>
    </w:p>
    <w:p>
      <w:pPr>
        <w:pStyle w:val="TextBody"/>
        <w:spacing w:lineRule="auto" w:line="288" w:before="0" w:after="0"/>
        <w:jc w:val="center"/>
        <w:rPr/>
      </w:pPr>
      <w:r>
        <w:rPr>
          <w:color w:val="000000"/>
        </w:rPr>
        <w:t> </w:t>
      </w:r>
      <w:r>
        <w:rPr>
          <w:rFonts w:ascii="Times New Roman;sans-serif" w:hAnsi="Times New Roman;sans-serif"/>
          <w:b/>
          <w:color w:val="000000"/>
          <w:sz w:val="48"/>
        </w:rPr>
        <w:t>PROG HOLDINGS, INC.</w:t>
      </w:r>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lineRule="auto" w:line="288" w:before="0" w:after="0"/>
        <w:jc w:val="center"/>
        <w:rPr>
          <w:color w:val="000000"/>
        </w:rPr>
      </w:pPr>
      <w:r>
        <w:rPr>
          <w:color w:val="000000"/>
        </w:rPr>
        <w:t> </w:t>
      </w:r>
      <w:r>
        <w:rPr>
          <w:rFonts w:ascii="Times New Roman;sans-serif" w:hAnsi="Times New Roman;sans-serif"/>
          <w:b/>
          <w:color w:val="000000"/>
          <w:sz w:val="18"/>
        </w:rPr>
        <w:t>_________________________________</w:t>
      </w:r>
    </w:p>
    <w:tbl>
      <w:tblPr>
        <w:tblW w:w="4854" w:type="dxa"/>
        <w:jc w:val="center"/>
        <w:tblInd w:w="0" w:type="dxa"/>
        <w:tblCellMar>
          <w:top w:w="28" w:type="dxa"/>
          <w:left w:w="28" w:type="dxa"/>
          <w:bottom w:w="28" w:type="dxa"/>
          <w:right w:w="28" w:type="dxa"/>
        </w:tblCellMar>
      </w:tblPr>
      <w:tblGrid>
        <w:gridCol w:w="314"/>
        <w:gridCol w:w="276"/>
        <w:gridCol w:w="276"/>
        <w:gridCol w:w="276"/>
        <w:gridCol w:w="276"/>
        <w:gridCol w:w="276"/>
        <w:gridCol w:w="254"/>
        <w:gridCol w:w="254"/>
        <w:gridCol w:w="256"/>
        <w:gridCol w:w="195"/>
        <w:gridCol w:w="195"/>
        <w:gridCol w:w="195"/>
        <w:gridCol w:w="109"/>
        <w:gridCol w:w="109"/>
        <w:gridCol w:w="109"/>
        <w:gridCol w:w="433"/>
        <w:gridCol w:w="433"/>
        <w:gridCol w:w="618"/>
      </w:tblGrid>
      <w:tr>
        <w:trPr/>
        <w:tc>
          <w:tcPr>
            <w:tcW w:w="31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3043" w:type="dxa"/>
            <w:gridSpan w:val="12"/>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Georgia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85-2484385</w:t>
            </w:r>
          </w:p>
        </w:tc>
      </w:tr>
      <w:tr>
        <w:trPr/>
        <w:tc>
          <w:tcPr>
            <w:tcW w:w="3043"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 R. S. Employer</w:t>
              <w:br/>
              <w:t>Identification No.)</w:t>
            </w:r>
          </w:p>
        </w:tc>
      </w:tr>
      <w:tr>
        <w:trPr/>
        <w:tc>
          <w:tcPr>
            <w:tcW w:w="3043"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256 W. Data Drive</w:t>
            </w:r>
          </w:p>
        </w:tc>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Draper,</w:t>
            </w:r>
          </w:p>
        </w:tc>
        <w:tc>
          <w:tcPr>
            <w:tcW w:w="5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Utah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84020-2315</w:t>
            </w:r>
          </w:p>
        </w:tc>
      </w:tr>
      <w:tr>
        <w:trPr/>
        <w:tc>
          <w:tcPr>
            <w:tcW w:w="3043"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(385) 351-1369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7513" w:type="dxa"/>
        <w:jc w:val="left"/>
        <w:tblInd w:w="0" w:type="dxa"/>
        <w:tblCellMar>
          <w:top w:w="28" w:type="dxa"/>
          <w:left w:w="28" w:type="dxa"/>
          <w:bottom w:w="28" w:type="dxa"/>
          <w:right w:w="28" w:type="dxa"/>
        </w:tblCellMar>
      </w:tblPr>
      <w:tblGrid>
        <w:gridCol w:w="1036"/>
        <w:gridCol w:w="908"/>
        <w:gridCol w:w="921"/>
        <w:gridCol w:w="444"/>
        <w:gridCol w:w="444"/>
        <w:gridCol w:w="446"/>
        <w:gridCol w:w="970"/>
        <w:gridCol w:w="970"/>
        <w:gridCol w:w="1374"/>
      </w:tblGrid>
      <w:tr>
        <w:trPr/>
        <w:tc>
          <w:tcPr>
            <w:tcW w:w="1036"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Trading Symbol</w:t>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$0.50 Par Value</w:t>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PRG</w:t>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spacing w:lineRule="auto" w:line="288" w:before="0" w:after="0"/>
        <w:jc w:val="center"/>
        <w:rPr>
          <w:color w:val="000000"/>
        </w:rPr>
      </w:pPr>
      <w:r>
        <w:rPr>
          <w:color w:val="000000"/>
        </w:rPr>
        <w:t> </w:t>
      </w:r>
      <w:r>
        <w:rPr>
          <w:rFonts w:ascii="Times New Roman;sans-serif" w:hAnsi="Times New Roman;sans-serif"/>
          <w:b/>
          <w:color w:val="000000"/>
          <w:sz w:val="18"/>
        </w:rPr>
        <w:t>___________________________________</w:t>
      </w:r>
    </w:p>
    <w:p>
      <w:pPr>
        <w:pStyle w:val="TextBody"/>
        <w:spacing w:before="0" w:after="0"/>
        <w:jc w:val="center"/>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Indicate by check mark whether registrant (l) has filed all reports required to be filed by Section 13 or 15 (d) of the Securities Exchange Act of l934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0" w:after="0"/>
        <w:rPr/>
      </w:pPr>
      <w:r>
        <w:rPr>
          <w:color w:val="000000"/>
        </w:rPr>
        <w:t>    </w:t>
      </w:r>
      <w:r>
        <w:rPr>
          <w:rFonts w:ascii="Times New Roman;sans-serif" w:hAnsi="Times New Roman;sans-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tbl>
      <w:tblPr>
        <w:tblW w:w="10205" w:type="dxa"/>
        <w:jc w:val="left"/>
        <w:tblInd w:w="0" w:type="dxa"/>
        <w:tblCellMar>
          <w:top w:w="28" w:type="dxa"/>
          <w:left w:w="28" w:type="dxa"/>
          <w:bottom w:w="28" w:type="dxa"/>
          <w:right w:w="28" w:type="dxa"/>
        </w:tblCellMar>
      </w:tblPr>
      <w:tblGrid>
        <w:gridCol w:w="1013"/>
        <w:gridCol w:w="720"/>
        <w:gridCol w:w="673"/>
        <w:gridCol w:w="140"/>
        <w:gridCol w:w="140"/>
        <w:gridCol w:w="140"/>
        <w:gridCol w:w="140"/>
        <w:gridCol w:w="140"/>
        <w:gridCol w:w="140"/>
        <w:gridCol w:w="899"/>
        <w:gridCol w:w="899"/>
        <w:gridCol w:w="902"/>
        <w:gridCol w:w="140"/>
        <w:gridCol w:w="140"/>
        <w:gridCol w:w="140"/>
        <w:gridCol w:w="1043"/>
        <w:gridCol w:w="1043"/>
        <w:gridCol w:w="1048"/>
        <w:gridCol w:w="109"/>
        <w:gridCol w:w="109"/>
        <w:gridCol w:w="109"/>
        <w:gridCol w:w="109"/>
        <w:gridCol w:w="109"/>
        <w:gridCol w:w="160"/>
      </w:tblGrid>
      <w:tr>
        <w:trPr/>
        <w:tc>
          <w:tcPr>
            <w:tcW w:w="1013"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 not check if a smaller reporting company)</w:t>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00" w:type="dxa"/>
            <w:gridSpan w:val="18"/>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120" w:after="283"/>
        <w:ind w:left="0" w:right="0" w:firstLine="495"/>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No </w:t>
      </w:r>
      <w:r>
        <w:rPr>
          <w:color w:val="000000"/>
        </w:rPr>
        <w:t>☒</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Indicate the number of shares outstanding of each of the issuer’s classes of common stock, as of the latest practicable date.</w:t>
      </w:r>
    </w:p>
    <w:tbl>
      <w:tblPr>
        <w:tblW w:w="5052" w:type="dxa"/>
        <w:jc w:val="left"/>
        <w:tblInd w:w="0" w:type="dxa"/>
        <w:tblCellMar>
          <w:top w:w="28" w:type="dxa"/>
          <w:left w:w="28" w:type="dxa"/>
          <w:bottom w:w="28" w:type="dxa"/>
          <w:right w:w="28" w:type="dxa"/>
        </w:tblCellMar>
      </w:tblPr>
      <w:tblGrid>
        <w:gridCol w:w="996"/>
        <w:gridCol w:w="879"/>
        <w:gridCol w:w="885"/>
        <w:gridCol w:w="109"/>
        <w:gridCol w:w="109"/>
        <w:gridCol w:w="109"/>
        <w:gridCol w:w="574"/>
        <w:gridCol w:w="574"/>
        <w:gridCol w:w="817"/>
      </w:tblGrid>
      <w:tr>
        <w:trPr/>
        <w:tc>
          <w:tcPr>
            <w:tcW w:w="996"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Outstanding 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April 21, 2023</w:t>
            </w:r>
          </w:p>
        </w:tc>
      </w:tr>
      <w:tr>
        <w:trPr/>
        <w:tc>
          <w:tcPr>
            <w:tcW w:w="27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$0.50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46,743,992</w:t>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spacing w:lineRule="auto" w:line="288" w:before="0" w:after="0"/>
        <w:rPr>
          <w:color w:val="000000"/>
        </w:rPr>
      </w:pPr>
      <w:r>
        <w:rPr>
          <w:color w:val="000000"/>
        </w:rPr>
        <w:t> </w:t>
      </w:r>
    </w:p>
    <w:tbl>
      <w:tblPr>
        <w:tblW w:w="9777" w:type="dxa"/>
        <w:jc w:val="left"/>
        <w:tblInd w:w="0" w:type="dxa"/>
        <w:tblCellMar>
          <w:top w:w="28" w:type="dxa"/>
          <w:left w:w="28" w:type="dxa"/>
          <w:bottom w:w="28" w:type="dxa"/>
          <w:right w:w="28" w:type="dxa"/>
        </w:tblCellMar>
      </w:tblPr>
      <w:tblGrid>
        <w:gridCol w:w="3407"/>
        <w:gridCol w:w="2992"/>
        <w:gridCol w:w="3006"/>
        <w:gridCol w:w="109"/>
        <w:gridCol w:w="109"/>
        <w:gridCol w:w="154"/>
      </w:tblGrid>
      <w:tr>
        <w:trPr/>
        <w:tc>
          <w:tcPr>
            <w:tcW w:w="3407" w:type="dxa"/>
            <w:tcBorders/>
            <w:shd w:fill="auto" w:val="clear"/>
            <w:vAlign w:val="center"/>
          </w:tcPr>
          <w:p>
            <w:pPr>
              <w:pStyle w:val="TableContents"/>
              <w:spacing w:before="0" w:after="283"/>
              <w:rPr>
                <w:sz w:val="4"/>
                <w:szCs w:val="4"/>
              </w:rPr>
            </w:pPr>
            <w:r>
              <w:rPr>
                <w:sz w:val="4"/>
                <w:szCs w:val="4"/>
              </w:rPr>
            </w:r>
          </w:p>
        </w:tc>
        <w:tc>
          <w:tcPr>
            <w:tcW w:w="2992" w:type="dxa"/>
            <w:tcBorders/>
            <w:shd w:fill="auto" w:val="clear"/>
            <w:vAlign w:val="center"/>
          </w:tcPr>
          <w:p>
            <w:pPr>
              <w:pStyle w:val="TableContents"/>
              <w:spacing w:before="0" w:after="283"/>
              <w:rPr>
                <w:sz w:val="4"/>
                <w:szCs w:val="4"/>
              </w:rPr>
            </w:pPr>
            <w:r>
              <w:rPr>
                <w:sz w:val="4"/>
                <w:szCs w:val="4"/>
              </w:rPr>
            </w:r>
          </w:p>
        </w:tc>
        <w:tc>
          <w:tcPr>
            <w:tcW w:w="30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4199068a40c488198bdcc122cb412b2_10">
              <w:r>
                <w:rPr>
                  <w:rStyle w:val="InternetLink"/>
                  <w:rFonts w:ascii="Times New Roman;sans-serif" w:hAnsi="Times New Roman;sans-serif"/>
                  <w:b/>
                  <w:color w:val="0000FF"/>
                  <w:sz w:val="20"/>
                  <w:u w:val="single"/>
                </w:rPr>
                <w:t>PART I. FINANCIAL INFORMATION</w:t>
              </w:r>
            </w:hyperlink>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4199068a40c488198bdcc122cb412b2_13">
              <w:r>
                <w:rPr>
                  <w:rStyle w:val="InternetLink"/>
                  <w:rFonts w:ascii="Times New Roman;sans-serif" w:hAnsi="Times New Roman;sans-serif"/>
                  <w:b w:val="false"/>
                  <w:color w:val="0000FF"/>
                  <w:sz w:val="20"/>
                  <w:u w:val="single"/>
                </w:rPr>
                <w:t>Item 1. Financial Statements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4199068a40c488198bdcc122cb412b2_13">
              <w:r>
                <w:rPr>
                  <w:rStyle w:val="InternetLink"/>
                  <w:rFonts w:ascii="Times New Roman;sans-serif" w:hAnsi="Times New Roman;sans-serif"/>
                  <w:b w:val="false"/>
                  <w:color w:val="0000FF"/>
                  <w:sz w:val="20"/>
                  <w:u w:val="single"/>
                </w:rPr>
                <w:t>3</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4199068a40c488198bdcc122cb412b2_16">
              <w:r>
                <w:rPr>
                  <w:rStyle w:val="InternetLink"/>
                  <w:rFonts w:ascii="Times New Roman;sans-serif" w:hAnsi="Times New Roman;sans-serif"/>
                  <w:b w:val="false"/>
                  <w:color w:val="0000FF"/>
                  <w:sz w:val="20"/>
                  <w:u w:val="single"/>
                </w:rPr>
                <w:t>Condensed Consolidated Balance Sheets – March 31, 2023 (Unaudited) and December 31, 2022</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4199068a40c488198bdcc122cb412b2_16">
              <w:r>
                <w:rPr>
                  <w:rStyle w:val="InternetLink"/>
                  <w:rFonts w:ascii="Times New Roman;sans-serif" w:hAnsi="Times New Roman;sans-serif"/>
                  <w:b w:val="false"/>
                  <w:color w:val="0000FF"/>
                  <w:sz w:val="20"/>
                  <w:u w:val="single"/>
                </w:rPr>
                <w:t>3</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4199068a40c488198bdcc122cb412b2_19">
              <w:r>
                <w:rPr>
                  <w:rStyle w:val="InternetLink"/>
                </w:rPr>
                <w:t>Condensed Consolidated Statements of Earnings (Unaudited) – Three</w:t>
              </w:r>
            </w:hyperlink>
            <w:hyperlink w:anchor="i44199068a40c488198bdcc122cb412b2_19">
              <w:r>
                <w:rPr>
                  <w:rStyle w:val="InternetLink"/>
                </w:rPr>
                <w:t xml:space="preserve"> Months</w:t>
              </w:r>
            </w:hyperlink>
            <w:hyperlink w:anchor="i44199068a40c488198bdcc122cb412b2_19">
              <w:r>
                <w:rPr>
                  <w:rStyle w:val="InternetLink"/>
                </w:rPr>
                <w:t xml:space="preserve"> Ended March 31, 2023 and 20</w:t>
              </w:r>
            </w:hyperlink>
            <w:hyperlink w:anchor="i44199068a40c488198bdcc122cb412b2_19">
              <w:r>
                <w:rPr>
                  <w:rStyle w:val="InternetLink"/>
                </w:rPr>
                <w:t>2</w:t>
              </w:r>
            </w:hyperlink>
            <w:hyperlink w:anchor="i44199068a40c488198bdcc122cb412b2_19">
              <w:r>
                <w:rPr>
                  <w:rStyle w:val="InternetLink"/>
                </w:rPr>
                <w:t>2</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4199068a40c488198bdcc122cb412b2_19">
              <w:r>
                <w:rPr>
                  <w:rStyle w:val="InternetLink"/>
                  <w:rFonts w:ascii="Times New Roman;sans-serif" w:hAnsi="Times New Roman;sans-serif"/>
                  <w:b w:val="false"/>
                  <w:color w:val="0000FF"/>
                  <w:sz w:val="20"/>
                  <w:u w:val="single"/>
                </w:rPr>
                <w:t>4</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940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4199068a40c488198bdcc122cb412b2_31">
              <w:r>
                <w:rPr>
                  <w:rStyle w:val="InternetLink"/>
                </w:rPr>
                <w:t xml:space="preserve">Condensed Consolidated Statements of Cash Flows (Unaudited) – </w:t>
              </w:r>
            </w:hyperlink>
            <w:hyperlink w:anchor="i44199068a40c488198bdcc122cb412b2_31">
              <w:r>
                <w:rPr>
                  <w:rStyle w:val="InternetLink"/>
                </w:rPr>
                <w:t>Three</w:t>
              </w:r>
            </w:hyperlink>
            <w:hyperlink w:anchor="i44199068a40c488198bdcc122cb412b2_31">
              <w:r>
                <w:rPr>
                  <w:rStyle w:val="InternetLink"/>
                </w:rPr>
                <w:t xml:space="preserve"> Months Ended</w:t>
              </w:r>
            </w:hyperlink>
            <w:hyperlink w:anchor="i44199068a40c488198bdcc122cb412b2_31">
              <w:r>
                <w:rPr>
                  <w:rStyle w:val="InternetLink"/>
                </w:rPr>
                <w:t xml:space="preserve"> March 31</w:t>
              </w:r>
            </w:hyperlink>
            <w:hyperlink w:anchor="i44199068a40c488198bdcc122cb412b2_31">
              <w:r>
                <w:rPr>
                  <w:rStyle w:val="InternetLink"/>
                </w:rPr>
                <w:t>, 202</w:t>
              </w:r>
            </w:hyperlink>
            <w:hyperlink w:anchor="i44199068a40c488198bdcc122cb412b2_31">
              <w:r>
                <w:rPr>
                  <w:rStyle w:val="InternetLink"/>
                </w:rPr>
                <w:t>3</w:t>
              </w:r>
            </w:hyperlink>
            <w:hyperlink w:anchor="i44199068a40c488198bdcc122cb412b2_31">
              <w:r>
                <w:rPr>
                  <w:rStyle w:val="InternetLink"/>
                </w:rPr>
                <w:t xml:space="preserve"> and 202</w:t>
              </w:r>
            </w:hyperlink>
            <w:hyperlink w:anchor="i44199068a40c488198bdcc122cb412b2_31">
              <w:r>
                <w:rPr>
                  <w:rStyle w:val="InternetLink"/>
                </w:rPr>
                <w:t>2</w:t>
              </w:r>
            </w:hyperlink>
            <w:hyperlink w:anchor="i44199068a40c488198bdcc122cb412b2_31">
              <w:r>
                <w:rPr>
                  <w:rStyle w:val="InternetLink"/>
                </w:rPr>
                <w:t xml:space="preserve"> </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4199068a40c488198bdcc122cb412b2_31">
              <w:r>
                <w:rPr>
                  <w:rStyle w:val="InternetLink"/>
                  <w:rFonts w:ascii="Times New Roman;sans-serif" w:hAnsi="Times New Roman;sans-serif"/>
                  <w:b w:val="false"/>
                  <w:color w:val="0000FF"/>
                  <w:sz w:val="20"/>
                  <w:u w:val="single"/>
                </w:rPr>
                <w:t>5</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4199068a40c488198bdcc122cb412b2_34">
              <w:r>
                <w:rPr>
                  <w:rStyle w:val="InternetLink"/>
                  <w:rFonts w:ascii="Times New Roman;sans-serif" w:hAnsi="Times New Roman;sans-serif"/>
                  <w:b w:val="false"/>
                  <w:color w:val="0000FF"/>
                  <w:sz w:val="20"/>
                  <w:u w:val="single"/>
                </w:rPr>
                <w:t>Notes to Condensed Consolidated Financial Statements (Unaudited)</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4199068a40c488198bdcc122cb412b2_34">
              <w:r>
                <w:rPr>
                  <w:rStyle w:val="InternetLink"/>
                  <w:rFonts w:ascii="Times New Roman;sans-serif" w:hAnsi="Times New Roman;sans-serif"/>
                  <w:b w:val="false"/>
                  <w:color w:val="0000FF"/>
                  <w:sz w:val="20"/>
                  <w:u w:val="single"/>
                </w:rPr>
                <w:t>6</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4199068a40c488198bdcc122cb412b2_64">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4199068a40c488198bdcc122cb412b2_64">
              <w:r>
                <w:rPr>
                  <w:rStyle w:val="InternetLink"/>
                  <w:rFonts w:ascii="Times New Roman;sans-serif" w:hAnsi="Times New Roman;sans-serif"/>
                  <w:b w:val="false"/>
                  <w:color w:val="0000FF"/>
                  <w:sz w:val="20"/>
                  <w:u w:val="single"/>
                </w:rPr>
                <w:t>21</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4199068a40c488198bdcc122cb412b2_94">
              <w:r>
                <w:rPr>
                  <w:rStyle w:val="InternetLink"/>
                  <w:rFonts w:ascii="Times New Roman;sans-serif" w:hAnsi="Times New Roman;sans-serif"/>
                  <w:b w:val="false"/>
                  <w:color w:val="0000FF"/>
                  <w:sz w:val="20"/>
                  <w:u w:val="single"/>
                </w:rPr>
                <w:t>Item 3. Quantitative and Qualitative Disclosures About Market Risk</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4199068a40c488198bdcc122cb412b2_94">
              <w:r>
                <w:rPr>
                  <w:rStyle w:val="InternetLink"/>
                  <w:rFonts w:ascii="Times New Roman;sans-serif" w:hAnsi="Times New Roman;sans-serif"/>
                  <w:b w:val="false"/>
                  <w:color w:val="0000FF"/>
                  <w:sz w:val="20"/>
                  <w:u w:val="single"/>
                </w:rPr>
                <w:t>31</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4199068a40c488198bdcc122cb412b2_97">
              <w:r>
                <w:rPr>
                  <w:rStyle w:val="InternetLink"/>
                  <w:rFonts w:ascii="Times New Roman;sans-serif" w:hAnsi="Times New Roman;sans-serif"/>
                  <w:b w:val="false"/>
                  <w:color w:val="0000FF"/>
                  <w:sz w:val="20"/>
                  <w:u w:val="single"/>
                </w:rPr>
                <w:t>Item 4. Controls and Procedures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4199068a40c488198bdcc122cb412b2_97">
              <w:r>
                <w:rPr>
                  <w:rStyle w:val="InternetLink"/>
                  <w:rFonts w:ascii="Times New Roman;sans-serif" w:hAnsi="Times New Roman;sans-serif"/>
                  <w:b w:val="false"/>
                  <w:color w:val="0000FF"/>
                  <w:sz w:val="20"/>
                  <w:u w:val="single"/>
                </w:rPr>
                <w:t>32</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4199068a40c488198bdcc122cb412b2_100">
              <w:r>
                <w:rPr>
                  <w:rStyle w:val="InternetLink"/>
                  <w:rFonts w:ascii="Times New Roman;sans-serif" w:hAnsi="Times New Roman;sans-serif"/>
                  <w:b/>
                  <w:color w:val="0000FF"/>
                  <w:sz w:val="20"/>
                  <w:u w:val="single"/>
                </w:rPr>
                <w:t>PART II. OTHER INFORMATION</w:t>
              </w:r>
            </w:hyperlink>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4199068a40c488198bdcc122cb412b2_103">
              <w:r>
                <w:rPr>
                  <w:rStyle w:val="InternetLink"/>
                  <w:rFonts w:ascii="Times New Roman;sans-serif" w:hAnsi="Times New Roman;sans-serif"/>
                  <w:b w:val="false"/>
                  <w:color w:val="0000FF"/>
                  <w:sz w:val="20"/>
                  <w:u w:val="single"/>
                </w:rPr>
                <w:t>Item 1. Legal Proceedings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4199068a40c488198bdcc122cb412b2_103">
              <w:r>
                <w:rPr>
                  <w:rStyle w:val="InternetLink"/>
                  <w:rFonts w:ascii="Times New Roman;sans-serif" w:hAnsi="Times New Roman;sans-serif"/>
                  <w:b w:val="false"/>
                  <w:color w:val="0000FF"/>
                  <w:sz w:val="20"/>
                  <w:u w:val="single"/>
                </w:rPr>
                <w:t>33</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4199068a40c488198bdcc122cb412b2_106">
              <w:r>
                <w:rPr>
                  <w:rStyle w:val="InternetLink"/>
                  <w:rFonts w:ascii="Times New Roman;sans-serif" w:hAnsi="Times New Roman;sans-serif"/>
                  <w:b w:val="false"/>
                  <w:color w:val="0000FF"/>
                  <w:sz w:val="20"/>
                  <w:u w:val="single"/>
                </w:rPr>
                <w:t>Item 1A. Risk Factors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4199068a40c488198bdcc122cb412b2_106">
              <w:r>
                <w:rPr>
                  <w:rStyle w:val="InternetLink"/>
                  <w:rFonts w:ascii="Times New Roman;sans-serif" w:hAnsi="Times New Roman;sans-serif"/>
                  <w:b w:val="false"/>
                  <w:color w:val="0000FF"/>
                  <w:sz w:val="20"/>
                  <w:u w:val="single"/>
                </w:rPr>
                <w:t>33</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4199068a40c488198bdcc122cb412b2_109">
              <w:r>
                <w:rPr>
                  <w:rStyle w:val="InternetLink"/>
                  <w:rFonts w:ascii="Times New Roman;sans-serif" w:hAnsi="Times New Roman;sans-serif"/>
                  <w:b w:val="false"/>
                  <w:color w:val="0000FF"/>
                  <w:sz w:val="20"/>
                  <w:u w:val="single"/>
                </w:rPr>
                <w:t>Item 2. Unregistered Sales of Equity Securities and Use of Proceeds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4199068a40c488198bdcc122cb412b2_109">
              <w:r>
                <w:rPr>
                  <w:rStyle w:val="InternetLink"/>
                  <w:rFonts w:ascii="Times New Roman;sans-serif" w:hAnsi="Times New Roman;sans-serif"/>
                  <w:b w:val="false"/>
                  <w:color w:val="0000FF"/>
                  <w:sz w:val="20"/>
                  <w:u w:val="single"/>
                </w:rPr>
                <w:t>33</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4199068a40c488198bdcc122cb412b2_112">
              <w:r>
                <w:rPr>
                  <w:rStyle w:val="InternetLink"/>
                  <w:rFonts w:ascii="Times New Roman;sans-serif" w:hAnsi="Times New Roman;sans-serif"/>
                  <w:b w:val="false"/>
                  <w:color w:val="0000FF"/>
                  <w:sz w:val="20"/>
                  <w:u w:val="single"/>
                </w:rPr>
                <w:t>Item 3. Defaults Upon Senior Securities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4199068a40c488198bdcc122cb412b2_112">
              <w:r>
                <w:rPr>
                  <w:rStyle w:val="InternetLink"/>
                  <w:rFonts w:ascii="Times New Roman;sans-serif" w:hAnsi="Times New Roman;sans-serif"/>
                  <w:b w:val="false"/>
                  <w:color w:val="0000FF"/>
                  <w:sz w:val="20"/>
                  <w:u w:val="single"/>
                </w:rPr>
                <w:t>33</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4199068a40c488198bdcc122cb412b2_115">
              <w:r>
                <w:rPr>
                  <w:rStyle w:val="InternetLink"/>
                  <w:rFonts w:ascii="Times New Roman;sans-serif" w:hAnsi="Times New Roman;sans-serif"/>
                  <w:b w:val="false"/>
                  <w:color w:val="0000FF"/>
                  <w:sz w:val="20"/>
                  <w:u w:val="single"/>
                </w:rPr>
                <w:t>Item 4. Mine Safety Disclosures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4199068a40c488198bdcc122cb412b2_115">
              <w:r>
                <w:rPr>
                  <w:rStyle w:val="InternetLink"/>
                  <w:rFonts w:ascii="Times New Roman;sans-serif" w:hAnsi="Times New Roman;sans-serif"/>
                  <w:b w:val="false"/>
                  <w:color w:val="0000FF"/>
                  <w:sz w:val="20"/>
                  <w:u w:val="single"/>
                </w:rPr>
                <w:t>33</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4199068a40c488198bdcc122cb412b2_118">
              <w:r>
                <w:rPr>
                  <w:rStyle w:val="InternetLink"/>
                  <w:rFonts w:ascii="Times New Roman;sans-serif" w:hAnsi="Times New Roman;sans-serif"/>
                  <w:b w:val="false"/>
                  <w:color w:val="0000FF"/>
                  <w:sz w:val="20"/>
                  <w:u w:val="single"/>
                </w:rPr>
                <w:t>Item 5. Other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4199068a40c488198bdcc122cb412b2_118">
              <w:r>
                <w:rPr>
                  <w:rStyle w:val="InternetLink"/>
                  <w:rFonts w:ascii="Times New Roman;sans-serif" w:hAnsi="Times New Roman;sans-serif"/>
                  <w:b w:val="false"/>
                  <w:color w:val="0000FF"/>
                  <w:sz w:val="20"/>
                  <w:u w:val="single"/>
                </w:rPr>
                <w:t>33</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4199068a40c488198bdcc122cb412b2_121">
              <w:r>
                <w:rPr>
                  <w:rStyle w:val="InternetLink"/>
                  <w:rFonts w:ascii="Times New Roman;sans-serif" w:hAnsi="Times New Roman;sans-serif"/>
                  <w:b w:val="false"/>
                  <w:color w:val="0000FF"/>
                  <w:sz w:val="20"/>
                  <w:u w:val="single"/>
                </w:rPr>
                <w:t>Item 6. Exhibits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4199068a40c488198bdcc122cb412b2_121">
              <w:r>
                <w:rPr>
                  <w:rStyle w:val="InternetLink"/>
                  <w:rFonts w:ascii="Times New Roman;sans-serif" w:hAnsi="Times New Roman;sans-serif"/>
                  <w:b w:val="false"/>
                  <w:color w:val="0000FF"/>
                  <w:sz w:val="20"/>
                  <w:u w:val="single"/>
                </w:rPr>
                <w:t>34</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4199068a40c488198bdcc122cb412b2_124">
              <w:r>
                <w:rPr>
                  <w:rStyle w:val="InternetLink"/>
                  <w:rFonts w:ascii="Times New Roman;sans-serif" w:hAnsi="Times New Roman;sans-serif"/>
                  <w:b w:val="false"/>
                  <w:color w:val="0000FF"/>
                  <w:sz w:val="20"/>
                  <w:u w:val="single"/>
                </w:rPr>
                <w:t>Signatures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4199068a40c488198bdcc122cb412b2_124">
              <w:r>
                <w:rPr>
                  <w:rStyle w:val="InternetLink"/>
                  <w:rFonts w:ascii="Times New Roman;sans-serif" w:hAnsi="Times New Roman;sans-serif"/>
                  <w:b w:val="false"/>
                  <w:color w:val="0000FF"/>
                  <w:sz w:val="20"/>
                  <w:u w:val="single"/>
                </w:rPr>
                <w:t>35</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PART I – FINANCIAL INFORMATION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100"/>
        <w:ind w:left="0" w:right="0" w:hanging="810"/>
        <w:rPr>
          <w:rFonts w:ascii="Times New Roman;sans-serif" w:hAnsi="Times New Roman;sans-serif"/>
          <w:b/>
          <w:color w:val="000000"/>
          <w:sz w:val="20"/>
        </w:rPr>
      </w:pPr>
      <w:r>
        <w:rPr>
          <w:rFonts w:ascii="Times New Roman;sans-serif" w:hAnsi="Times New Roman;sans-serif"/>
          <w:b/>
          <w:color w:val="000000"/>
          <w:sz w:val="20"/>
        </w:rPr>
        <w:t>ITEM 1.FINANCIAL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center"/>
        <w:tblInd w:w="0" w:type="dxa"/>
        <w:tblCellMar>
          <w:top w:w="28" w:type="dxa"/>
          <w:left w:w="28" w:type="dxa"/>
          <w:bottom w:w="28" w:type="dxa"/>
          <w:right w:w="28" w:type="dxa"/>
        </w:tblCellMar>
      </w:tblPr>
      <w:tblGrid>
        <w:gridCol w:w="3546"/>
        <w:gridCol w:w="1842"/>
        <w:gridCol w:w="1852"/>
        <w:gridCol w:w="211"/>
        <w:gridCol w:w="976"/>
        <w:gridCol w:w="109"/>
        <w:gridCol w:w="109"/>
        <w:gridCol w:w="109"/>
        <w:gridCol w:w="109"/>
        <w:gridCol w:w="211"/>
        <w:gridCol w:w="976"/>
        <w:gridCol w:w="155"/>
      </w:tblGrid>
      <w:tr>
        <w:trPr/>
        <w:tc>
          <w:tcPr>
            <w:tcW w:w="3546"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18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4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2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131,880 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of allowances of $65,170 in 2023 and $69,264 in 2022) </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Merchandise (net of accumulated depreciation and allowances of $454,444 in 2023 and $467,355 in 2022)</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648,043 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 (net of allowances and unamortized fees of $50,149 in 2023 and $53,635 in 2022)</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130,966 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296,061 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1,491,909 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&amp; SHAREHOLDERS’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135,025 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137,261 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 and Advance Payments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590,966 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921,448 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4)</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Common Stock, Par Value $0.50 Per Share: Authorized: 225,000,000 Shares at March 31, 2023 and December 31, 2022; Shares Issued: 82,078,654</w:t>
            </w:r>
            <w:r>
              <w:rPr>
                <w:color w:val="EE2724"/>
              </w:rPr>
              <w:t xml:space="preserve"> </w:t>
            </w:r>
            <w:r>
              <w:rPr>
                <w:rFonts w:ascii="Times New Roman;sans-serif" w:hAnsi="Times New Roman;sans-serif"/>
                <w:b w:val="false"/>
                <w:color w:val="000000"/>
                <w:sz w:val="20"/>
              </w:rPr>
              <w:t>at March 31, 2023 and December 31, 2022</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338,814 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1,154,235 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1,534,088 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Treasury Shares at Cost</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Common Stock: 35,336,539</w:t>
            </w:r>
            <w:r>
              <w:rPr>
                <w:color w:val="EE2724"/>
              </w:rPr>
              <w:t xml:space="preserve"> </w:t>
            </w:r>
            <w:r>
              <w:rPr>
                <w:rFonts w:ascii="Times New Roman;sans-serif" w:hAnsi="Times New Roman;sans-serif"/>
                <w:b w:val="false"/>
                <w:color w:val="000000"/>
                <w:sz w:val="20"/>
              </w:rPr>
              <w:t>Shares at March 31, 2023 and 34,044,102 at December 31, 2022</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(995,618)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(963,627)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&amp;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1,491,909 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pPr>
      <w:r>
        <w:rPr>
          <w:rFonts w:ascii="Times New Roman;sans-serif" w:hAnsi="Times New Roman;sans-serif"/>
          <w:b w:val="false"/>
          <w:i/>
          <w:color w:val="000000"/>
          <w:sz w:val="20"/>
        </w:rPr>
        <w:t>The accompanying notes are an integral part of the Condensed Consolidated Financial Statements</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EARNINGS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8428" w:type="dxa"/>
        <w:jc w:val="center"/>
        <w:tblInd w:w="0" w:type="dxa"/>
        <w:tblCellMar>
          <w:top w:w="28" w:type="dxa"/>
          <w:left w:w="28" w:type="dxa"/>
          <w:bottom w:w="28" w:type="dxa"/>
          <w:right w:w="28" w:type="dxa"/>
        </w:tblCellMar>
      </w:tblPr>
      <w:tblGrid>
        <w:gridCol w:w="1656"/>
        <w:gridCol w:w="1457"/>
        <w:gridCol w:w="1462"/>
        <w:gridCol w:w="236"/>
        <w:gridCol w:w="927"/>
        <w:gridCol w:w="122"/>
        <w:gridCol w:w="122"/>
        <w:gridCol w:w="122"/>
        <w:gridCol w:w="122"/>
        <w:gridCol w:w="236"/>
        <w:gridCol w:w="927"/>
        <w:gridCol w:w="122"/>
        <w:gridCol w:w="109"/>
        <w:gridCol w:w="109"/>
        <w:gridCol w:w="109"/>
        <w:gridCol w:w="109"/>
        <w:gridCol w:w="109"/>
        <w:gridCol w:w="109"/>
        <w:gridCol w:w="109"/>
        <w:gridCol w:w="154"/>
      </w:tblGrid>
      <w:tr>
        <w:trPr/>
        <w:tc>
          <w:tcPr>
            <w:tcW w:w="1656" w:type="dxa"/>
            <w:tcBorders/>
            <w:shd w:fill="auto" w:val="clear"/>
            <w:vAlign w:val="center"/>
          </w:tcPr>
          <w:p>
            <w:pPr>
              <w:pStyle w:val="TableContents"/>
              <w:spacing w:before="0" w:after="283"/>
              <w:rPr>
                <w:sz w:val="4"/>
                <w:szCs w:val="4"/>
              </w:rPr>
            </w:pPr>
            <w:r>
              <w:rPr>
                <w:sz w:val="4"/>
                <w:szCs w:val="4"/>
              </w:rPr>
            </w:r>
          </w:p>
        </w:tc>
        <w:tc>
          <w:tcPr>
            <w:tcW w:w="1457"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6"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28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917" w:type="dxa"/>
            <w:gridSpan w:val="8"/>
            <w:tcBorders/>
            <w:shd w:fill="auto" w:val="clear"/>
          </w:tcPr>
          <w:p>
            <w:pPr>
              <w:pStyle w:val="TableContents"/>
              <w:spacing w:before="0" w:after="283"/>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Revenues and Fees</w:t>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637,082 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692,914 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Fees on Loans Receivable</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655,140 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710,464 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2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 Merchandise</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435,439 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497,011 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Lease Merchandise Write-offs</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105,259 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113,658 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579,062 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660,999 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OPERATING PROFIT </w:t>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76,078 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(9,629)</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BEFORE INCOME TAX EXPENSE</w:t>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67,587 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TAX EXPENSE </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EARNINGS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Assuming Dilution</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w:t>
            </w:r>
          </w:p>
        </w:tc>
        <w:tc>
          <w:tcPr>
            <w:tcW w:w="12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Assuming Dilution</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jc w:val="center"/>
        <w:rPr/>
      </w:pPr>
      <w:r>
        <w:rPr>
          <w:rFonts w:ascii="Times New Roman;sans-serif" w:hAnsi="Times New Roman;sans-serif"/>
          <w:b w:val="false"/>
          <w:i/>
          <w:color w:val="000000"/>
          <w:sz w:val="20"/>
        </w:rPr>
        <w:t>The accompanying notes are an integral part of the Condensed Consolidated Financial Statements</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428" w:type="dxa"/>
        <w:jc w:val="center"/>
        <w:tblInd w:w="0" w:type="dxa"/>
        <w:tblCellMar>
          <w:top w:w="28" w:type="dxa"/>
          <w:left w:w="28" w:type="dxa"/>
          <w:bottom w:w="28" w:type="dxa"/>
          <w:right w:w="28" w:type="dxa"/>
        </w:tblCellMar>
      </w:tblPr>
      <w:tblGrid>
        <w:gridCol w:w="2452"/>
        <w:gridCol w:w="2153"/>
        <w:gridCol w:w="2159"/>
        <w:gridCol w:w="211"/>
        <w:gridCol w:w="826"/>
        <w:gridCol w:w="109"/>
        <w:gridCol w:w="109"/>
        <w:gridCol w:w="109"/>
        <w:gridCol w:w="109"/>
        <w:gridCol w:w="211"/>
        <w:gridCol w:w="826"/>
        <w:gridCol w:w="154"/>
      </w:tblGrid>
      <w:tr>
        <w:trPr/>
        <w:tc>
          <w:tcPr>
            <w:tcW w:w="2452" w:type="dxa"/>
            <w:tcBorders/>
            <w:shd w:fill="auto" w:val="clear"/>
            <w:vAlign w:val="center"/>
          </w:tcPr>
          <w:p>
            <w:pPr>
              <w:pStyle w:val="TableContents"/>
              <w:spacing w:before="0" w:after="283"/>
              <w:rPr>
                <w:sz w:val="4"/>
                <w:szCs w:val="4"/>
              </w:rPr>
            </w:pPr>
            <w:r>
              <w:rPr>
                <w:sz w:val="4"/>
                <w:szCs w:val="4"/>
              </w:rPr>
            </w:r>
          </w:p>
        </w:tc>
        <w:tc>
          <w:tcPr>
            <w:tcW w:w="2153" w:type="dxa"/>
            <w:tcBorders/>
            <w:shd w:fill="auto" w:val="clear"/>
            <w:vAlign w:val="center"/>
          </w:tcPr>
          <w:p>
            <w:pPr>
              <w:pStyle w:val="TableContents"/>
              <w:spacing w:before="0" w:after="283"/>
              <w:rPr>
                <w:sz w:val="4"/>
                <w:szCs w:val="4"/>
              </w:rPr>
            </w:pPr>
            <w:r>
              <w:rPr>
                <w:sz w:val="4"/>
                <w:szCs w:val="4"/>
              </w:rPr>
            </w:r>
          </w:p>
        </w:tc>
        <w:tc>
          <w:tcPr>
            <w:tcW w:w="21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Earnings to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 Merchandise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 for Accounts Receivable and Loan Losses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Changes,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Effects of Acquisitions: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Lease Merchandise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(480,113)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 Value of Lease Merchandise Sold or Disposed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(94,743)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 and Payable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and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 and Advance Payments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Receivable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Loans Receivable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Outflows on 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Property and Equipment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Acquisitions of Businesses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Treasury Stock</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(78,080)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Tender Offer Shares Repurchased and Retired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Tax Payments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During the Period:</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pPr>
      <w:r>
        <w:rPr>
          <w:rFonts w:ascii="Times New Roman;sans-serif" w:hAnsi="Times New Roman;sans-serif"/>
          <w:b w:val="false"/>
          <w:i/>
          <w:color w:val="000000"/>
          <w:sz w:val="20"/>
        </w:rPr>
        <w:t>The accompanying notes are an integral part of the Condensed Consolidated Financial Statements</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NOTE 1. BASIS AND SUMMARY OF SIGNIFICANT ACCOUNTING POLICIES</w:t>
      </w:r>
    </w:p>
    <w:p>
      <w:pPr>
        <w:pStyle w:val="TextBody"/>
        <w:spacing w:lineRule="auto" w:line="288" w:before="100" w:after="283"/>
        <w:rPr/>
      </w:pPr>
      <w:r>
        <w:rPr>
          <w:rFonts w:ascii="Times New Roman;sans-serif" w:hAnsi="Times New Roman;sans-serif"/>
          <w:b w:val="false"/>
          <w:i/>
          <w:color w:val="000000"/>
          <w:sz w:val="20"/>
        </w:rPr>
        <w:t>As described elsewhere in this Quarterly Report on Form 10-Q, the Coronavirus Disease ("COVID-19") pandemic and the rampant increase in inflation has led to significant market uncertainty and disruption and has impacted many aspects of our operations, directly and indirectly. Throughout these notes to the condensed consolidated financial statements, the impacts of the COVID-19 pandemic and inflation on the financial results for the three</w:t>
      </w:r>
      <w:r>
        <w:rPr>
          <w:color w:val="000000"/>
        </w:rPr>
        <w:t xml:space="preserve"> </w:t>
      </w:r>
      <w:r>
        <w:rPr>
          <w:rFonts w:ascii="Times New Roman;sans-serif" w:hAnsi="Times New Roman;sans-serif"/>
          <w:b w:val="false"/>
          <w:i/>
          <w:color w:val="000000"/>
          <w:sz w:val="20"/>
        </w:rPr>
        <w:t>months ended March 31, 2023 and 2022 have been identified under the respective sections. For a discussion of customer payment trends and significant estimates made by management regarding allowances for lease merchandise, accounts receivable, and loans receivable, as well as the impacts COVID-19, inflation, and supply chain disruptions had on generating lease and loan originations during the reportable periods, see Item 2. "Management’s Discussion and Analysis of Financial Condition and Results of Operations," including the "Macroeconomic and Business Environment," "Results of Operations," and "Liquidity and Capital Resources" below.</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PROG Holdings, Inc. ("we," "our," "us," the "Company," or "PROG Holdings") is a financial technology holding company that provides transparent and competitive payment options to consumers. PROG Holdings has two reportable segments: (i) Progressive Leasing, an in-store, app-based, and e-commerce point-of-sale lease-to-own solutions provider; and (ii) Vive Financial ("Vive"), an omnichannel provider of second-look revolving credit products.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Progressive Leasing segment provides consumers with lease-purchase solutions through its point-of-sale partner locations and e-commerce website partners in the United States (collectively, "POS partners").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PROG Holdings’ ecosystem of financial technology offerings also includes Four Technologies, Inc. ("Four"), an innovative Buy Now, Pay Later ("BNPL") company that allows shoppers to pay for merchandise through four interest-free installments. Shoppers use Four to purchase furniture, clothing, electronics, health and beauty products, footwear, jewelry, and other consumer goods from retailers across the United States. Four is not a reportable segment for the three month period ended March 31, 2023 as its financial results are not material to the Company's condensed consolidated financial results.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Company's condensed consolidated financial statements in conformity with accounting principles generally accepted in the United States ("U.S. GAAP") for interim financial information requires management to make estimates and assumptions that affect the amounts reported in these condensed consolidated financial statements and accompanying notes. Actual results could differ from those estimates. Management does not believe these estimates or assumptions will change significantly in the future absent unidentified and unforeseen events, such as the possible direct or indirect impacts associated with the COVID-19 pandemic, increasing inflation, increasing unemployment rates, and/or a prolonged recession in the United States.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do not include all information required by U.S. GAAP for complete financial statements. In the opinion of management, all adjustments, which are of a normal recurring nature, considered necessary for a fair presentation have been included in the accompanying unaudited condensed consolidated financial statements. These condensed consolidated financial statements should be read in conjunction with the financial statements and notes thereto included in the Company's Annual Report on Form 10-K for the year ended December 31, 2022 (the "2022 Annual Report") filed with the United States Securities and Exchange Commission on February 22, 2023. The results of operations for the three months ended March 31, 2023 are not necessarily indicative of operating results for the full year.</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PROG Holdings, Inc. and its subsidiaries, each of which is wholly-owned. Intercompany balances and transactions between consolidated entities have been eliminated.</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Accounting Policies and Estimates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See Note 1 to the consolidated financial statements in the 2022 Annual Report for an expanded discussion of accounting policies and estimates.</w:t>
      </w:r>
    </w:p>
    <w:p>
      <w:pPr>
        <w:pStyle w:val="TextBody"/>
        <w:spacing w:lineRule="auto" w:line="288" w:before="180" w:after="283"/>
        <w:rPr>
          <w:rFonts w:ascii="Times New Roman;sans-serif" w:hAnsi="Times New Roman;sans-serif"/>
          <w:b/>
          <w:i/>
          <w:color w:val="000000"/>
          <w:sz w:val="20"/>
        </w:rPr>
      </w:pPr>
      <w:bookmarkStart w:id="0" w:name="ib4ab69777931487193b6062d637635ad_34845"/>
      <w:bookmarkEnd w:id="0"/>
      <w:r>
        <w:rPr>
          <w:rFonts w:ascii="Times New Roman;sans-serif" w:hAnsi="Times New Roman;sans-serif"/>
          <w:b/>
          <w:i/>
          <w:color w:val="000000"/>
          <w:sz w:val="20"/>
        </w:rPr>
        <w:t>Earnings Per Share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per share is computed by dividing net earnings by the weighted average number of shares of common stock outstanding during the period. The computation of earnings per share assuming dilution includes the dilutive effect of stock options, restricted stock units ("RSUs"), restricted stock awards ("RSAs"), performance share units ("PSUs") and awards issuable under the Company's employee stock purchase plan ("ESPP") (collectively, "share-based awards") as determined under the treasury stock method. The following table shows the calculation of dilutive share-based awards: </w:t>
      </w:r>
    </w:p>
    <w:tbl>
      <w:tblPr>
        <w:tblW w:w="8188" w:type="dxa"/>
        <w:jc w:val="left"/>
        <w:tblInd w:w="0" w:type="dxa"/>
        <w:tblCellMar>
          <w:top w:w="28" w:type="dxa"/>
          <w:left w:w="28" w:type="dxa"/>
          <w:bottom w:w="28" w:type="dxa"/>
          <w:right w:w="28" w:type="dxa"/>
        </w:tblCellMar>
      </w:tblPr>
      <w:tblGrid>
        <w:gridCol w:w="1755"/>
        <w:gridCol w:w="1542"/>
        <w:gridCol w:w="1548"/>
        <w:gridCol w:w="500"/>
        <w:gridCol w:w="266"/>
        <w:gridCol w:w="266"/>
        <w:gridCol w:w="266"/>
        <w:gridCol w:w="266"/>
        <w:gridCol w:w="266"/>
        <w:gridCol w:w="500"/>
        <w:gridCol w:w="266"/>
        <w:gridCol w:w="266"/>
        <w:gridCol w:w="109"/>
        <w:gridCol w:w="109"/>
        <w:gridCol w:w="109"/>
        <w:gridCol w:w="154"/>
      </w:tblGrid>
      <w:tr>
        <w:trPr/>
        <w:tc>
          <w:tcPr>
            <w:tcW w:w="1755" w:type="dxa"/>
            <w:tcBorders/>
            <w:shd w:fill="auto" w:val="clear"/>
            <w:vAlign w:val="center"/>
          </w:tcPr>
          <w:p>
            <w:pPr>
              <w:pStyle w:val="TableContents"/>
              <w:spacing w:before="0" w:after="283"/>
              <w:rPr>
                <w:sz w:val="4"/>
                <w:szCs w:val="4"/>
              </w:rPr>
            </w:pPr>
            <w:r>
              <w:rPr>
                <w:sz w:val="4"/>
                <w:szCs w:val="4"/>
              </w:rPr>
            </w:r>
          </w:p>
        </w:tc>
        <w:tc>
          <w:tcPr>
            <w:tcW w:w="1542" w:type="dxa"/>
            <w:tcBorders/>
            <w:shd w:fill="auto" w:val="clear"/>
            <w:vAlign w:val="center"/>
          </w:tcPr>
          <w:p>
            <w:pPr>
              <w:pStyle w:val="TableContents"/>
              <w:spacing w:before="0" w:after="283"/>
              <w:rPr>
                <w:sz w:val="4"/>
                <w:szCs w:val="4"/>
              </w:rPr>
            </w:pPr>
            <w:r>
              <w:rPr>
                <w:sz w:val="4"/>
                <w:szCs w:val="4"/>
              </w:rPr>
            </w:r>
          </w:p>
        </w:tc>
        <w:tc>
          <w:tcPr>
            <w:tcW w:w="1548"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(Shares In Thousands)</w:t>
            </w:r>
          </w:p>
        </w:tc>
        <w:tc>
          <w:tcPr>
            <w:tcW w:w="10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47,854 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55,402 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Share-Based Awards</w:t>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Assuming Dilution</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48,139 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55,706 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Approximately 1,209,000 and 1,087,000 weighted-average share-based awards were excluded from the computation of earnings per share assuming dilution during the three months ended March 31, 2023 and 2022, respectively, as the awards would have been anti-dilutive for the periods presented.</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 xml:space="preserve">Revenue Recognition </w:t>
      </w:r>
    </w:p>
    <w:p>
      <w:pPr>
        <w:pStyle w:val="TextBody"/>
        <w:spacing w:lineRule="auto" w:line="288" w:before="180" w:after="283"/>
        <w:jc w:val="both"/>
        <w:rPr>
          <w:rFonts w:ascii="Times New Roman;sans-serif" w:hAnsi="Times New Roman;sans-serif"/>
          <w:b w:val="false"/>
          <w:i/>
          <w:color w:val="000000"/>
          <w:sz w:val="20"/>
        </w:rPr>
      </w:pPr>
      <w:bookmarkStart w:id="1" w:name="ib4ab69777931487193b6062d637635ad_34669"/>
      <w:bookmarkEnd w:id="1"/>
      <w:r>
        <w:rPr>
          <w:rFonts w:ascii="Times New Roman;sans-serif" w:hAnsi="Times New Roman;sans-serif"/>
          <w:b w:val="false"/>
          <w:i/>
          <w:color w:val="000000"/>
          <w:sz w:val="20"/>
        </w:rPr>
        <w:t>Lease Revenues and Fees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Progressive Leasing provides merchandise, consisting primarily of furniture, appliances, electronics, jewelry, mobile phones and accessories, mattresses, automobile electronics and accessories, and a variety of other products, to its customers for lease under terms agreed to by the customer. Progressive Leasing offers customers of traditional and e-commerce retailers a lease-purchase solution through leases with payment terms that can generally be renewed up to 12 months. Progressive Leasing does not require deposits upon inception of customer agreements. The customer has the right to acquire ownership either through early buyout options or through payment of all required lease payments. The agreements are cancellable at any time by either party without penalty.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All of Progressive Leasing's customer agreements are considered operating leases. The Company maintains ownership of the lease merchandise until all payment obligations are satisfied under the lease ownership agreements. Initial lease payments made by the customer upon lease execution are recognized as deferred revenue and are amortized as lease revenue over the estimated lease term on a straight-line basis. Initial lease payments and other payments collected in advance of being due or earned are recognized as deferred revenue within customer deposits and advance payments in the accompanying condensed consolidated balance sheets. All other customer lease billings are earned prior to the lease payment due date and are recorded net of related sales taxes as earned. Payment due date terms include weekly, bi-weekly, semi-monthly and monthly frequencies. Revenue recorded prior to the payment due date results in unbilled receivables recognized in accounts receivable, net of allowances, in the accompanying condensed consolidated balance sheets. Lease revenues are recorded net of a provision for uncollectible renewal payments.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Initial direct costs related to lease purchase agreements are capitalized as incurred and amortized as operating expense over the estimated lease term. The capitalized costs have been classified within prepaid expenses and other assets in the accompanying condensed consolidated balance sheets.</w:t>
      </w:r>
    </w:p>
    <w:p>
      <w:pPr>
        <w:pStyle w:val="TextBody"/>
        <w:spacing w:lineRule="auto" w:line="288" w:before="180" w:after="283"/>
        <w:rPr>
          <w:rFonts w:ascii="Times New Roman;sans-serif" w:hAnsi="Times New Roman;sans-serif"/>
          <w:b w:val="false"/>
          <w:i/>
          <w:color w:val="000000"/>
          <w:sz w:val="20"/>
        </w:rPr>
      </w:pPr>
      <w:bookmarkStart w:id="2" w:name="ib4ab69777931487193b6062d637635ad_34827"/>
      <w:bookmarkEnd w:id="2"/>
      <w:r>
        <w:rPr>
          <w:rFonts w:ascii="Times New Roman;sans-serif" w:hAnsi="Times New Roman;sans-serif"/>
          <w:b w:val="false"/>
          <w:i/>
          <w:color w:val="000000"/>
          <w:sz w:val="20"/>
        </w:rPr>
        <w:t>Interest and Fees on Loans Receivable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Interest and fees on loans receivable is primarily generated from our Vive segment. Vive extends or declines credit to an applicant through its bank partners based upon the applicant's credit rating and other factors. Qualifying applicants are approved for a specified maximum revolving credit card line to finance their initial purchase and to use in subsequent purchases at the merchant or other participating merchants for an initial 24-month period, which Vive may renew if the cardholder remains in good standing.</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Vive acquires the loan receivable from its third-party bank partners at a discount from the face value of the loan. The discount is comprised of a merchant fee discount and a promotional fee discount, if applicable. </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merchant fee discount represents a pre-negotiated, nonrefundable discount that generally ranges from 3% to 25% of the loan face value. The discount is designed to cover the risk of loss related to the portfolio of cardholder charges and Vive's direct origination costs. The merchant fee discount and origination costs are presented net in the condensed consolidated balance sheets in loans receivable. Cardholders generally have an initial 24-month period that the card is active. The merchant fee discount, net of the origination costs, is amortized on a net basis and is recorded as interest and fees on loans receivable in the condensed consolidated statements of earnings on a straight-line basis over the initial 24-month period. If the loan receivable is paid off or charged off during the 24-month period, the remaining net merchant fee discount is recognized as interest and fees on loans receivable at that time.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discount from the face value of the loan on the acquisition of the loan receivable from the merchant through the third-party bank partners may also include a promotional fee discount, which generally ranges from 1% to 8%. The promotional fee discount is intended to compensate the holder of the loan receivable (i.e., Vive) for deferred or reduced interest rates that are offered to the cardholder for a specified period on the outstanding loan balance (generally for six, 12 or 18 months). The promotional fee discount is amortized as interest and fees on loans receivable in the condensed consolidated statements of earnings on a straight-line basis over the promotional interest period (i.e., over six, 12 or 18 months, depending on the promotion). If the loan receivable is paid off or charged off prior to the expiration of the promotional period, the remaining promotional fee discount is recognized as interest and fees on loans receivable at that time. The unamortized promotional fee discount is presented net within loans receivable in the condensed consolidated balance sheets.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customer is typically required to make monthly minimum payments of at least 3.5% of the outstanding loan balance, which includes outstanding interest. Fixed and variable interest rates, typically 27% to 35.99%, are compounded daily for cards that do not qualify for deferred or reduced interest promotional periods. Interest income, which is recognized based upon the amount of the loans outstanding, is recognized as interest and fees on loans receivable when earned if collectibility is reasonably assured. For credit cards that provide deferred interest, if the balance is not paid off during the promotional period or if the cardholder defaults, interest is billed to the customers at standard rates and the cumulative amount owed is charged to the cardholder account in the month that the promotional period expires. The Company recognizes interest revenue during the promotional period based on its historical experience related to cardholders that fail to pay off balances during the promotional period if collectibility is reasonably assured.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Annual fees are charged to cardholders at the commencement of the loan and on each subsequent anniversary date. Annual fees are deferred and recognized into revenue on a straight-line basis over a one-year period. Under the provisions of the credit card agreements, Vive also may assess fees for missed or late payments, which are recognized as revenue in the billing period in which they are assessed if collectibility is reasonably assured. Annual fees and other fees are recognized as interest and fees on loans receivable in the condensed consolidated statements of earnings.</w:t>
      </w:r>
    </w:p>
    <w:p>
      <w:pPr>
        <w:pStyle w:val="TextBody"/>
        <w:spacing w:lineRule="auto" w:line="288" w:before="180" w:after="283"/>
        <w:rPr>
          <w:rFonts w:ascii="Times New Roman;sans-serif" w:hAnsi="Times New Roman;sans-serif"/>
          <w:b/>
          <w:i/>
          <w:color w:val="000000"/>
          <w:sz w:val="20"/>
        </w:rPr>
      </w:pPr>
      <w:bookmarkStart w:id="3" w:name="ib4ab69777931487193b6062d637635ad_34704"/>
      <w:bookmarkEnd w:id="3"/>
      <w:r>
        <w:rPr>
          <w:rFonts w:ascii="Times New Roman;sans-serif" w:hAnsi="Times New Roman;sans-serif"/>
          <w:b/>
          <w:i/>
          <w:color w:val="000000"/>
          <w:sz w:val="20"/>
        </w:rPr>
        <w:t>Accounts Receivable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Accounts receivable consist primarily of receivables due from customers of Progressive Leasing and amounted to $55.8 million and $64.5 million, net of allowances, as of March 31, 2023 and December 31, 2022, respectively.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maintains an accounts receivable allowance, which primarily relates to its Progressive Leasing operations and, to a lesser extent, receivables from Vive's POS partners. The Company’s policy is to record an allowance for uncollectible renewal payments based on historical collection experience. Other qualitative factors, such as current and forecasted business trends, are considered in estimating the allowance. Given the significant uncertainty regarding the impacts of increasing inflation, unemployment rates, and/or the COVID-19 pandemic on our business, a high level of estimation was involved in determining the allowance as of March 31, 2023. Therefore, actual future accounts receivable write-offs may differ materially from the allowance. If the significant increase in inflation that began during 2022 continues in future periods, or if the current level of inflation does not decrease, such developments may further adversely impact certain customers' ability to continue to make payments to the Company. The provision for uncollectible renewal payments is recorded as a reduction of lease revenues and fees within the condensed consolidated statements of earnings. For customer lease agreements that are past due, the Company's policy is to write off lease receivables after 120 days.</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Vive's allowance for uncollectible merchant accounts receivable, which primarily relates to cardholder returns and refunds, and is an immaterial amount related to Vive's bad debt expense, is recorded within operating expenses in the condensed consolidated statements of earnings. See below for a discussion of Vive's loans receivable and related allowance for loan losses.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components of the accounts receivable allowance:</w:t>
      </w:r>
    </w:p>
    <w:tbl>
      <w:tblPr>
        <w:tblW w:w="7541" w:type="dxa"/>
        <w:jc w:val="left"/>
        <w:tblInd w:w="0" w:type="dxa"/>
        <w:tblCellMar>
          <w:top w:w="28" w:type="dxa"/>
          <w:left w:w="28" w:type="dxa"/>
          <w:bottom w:w="28" w:type="dxa"/>
          <w:right w:w="28" w:type="dxa"/>
        </w:tblCellMar>
      </w:tblPr>
      <w:tblGrid>
        <w:gridCol w:w="1234"/>
        <w:gridCol w:w="1083"/>
        <w:gridCol w:w="1087"/>
        <w:gridCol w:w="109"/>
        <w:gridCol w:w="109"/>
        <w:gridCol w:w="109"/>
        <w:gridCol w:w="207"/>
        <w:gridCol w:w="207"/>
        <w:gridCol w:w="402"/>
        <w:gridCol w:w="1374"/>
        <w:gridCol w:w="207"/>
        <w:gridCol w:w="109"/>
        <w:gridCol w:w="109"/>
        <w:gridCol w:w="109"/>
        <w:gridCol w:w="211"/>
        <w:gridCol w:w="721"/>
        <w:gridCol w:w="154"/>
      </w:tblGrid>
      <w:tr>
        <w:trPr/>
        <w:tc>
          <w:tcPr>
            <w:tcW w:w="1234"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Book Value of Accounts Written Off</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(86,064)</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(92,933)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12,019 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Provision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69,951 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65,170 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i/>
          <w:color w:val="000000"/>
          <w:sz w:val="20"/>
        </w:rPr>
      </w:pPr>
      <w:bookmarkStart w:id="4" w:name="ib4ab69777931487193b6062d637635ad_34828"/>
      <w:bookmarkEnd w:id="4"/>
      <w:r>
        <w:rPr>
          <w:rFonts w:ascii="Times New Roman;sans-serif" w:hAnsi="Times New Roman;sans-serif"/>
          <w:b/>
          <w:i/>
          <w:color w:val="000000"/>
          <w:sz w:val="20"/>
        </w:rPr>
        <w:t>Lease Merchandise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Progressive Leasing's merchandise consists primarily of furniture, appliances, electronics, jewelry, mobile phones and accessories, mattresses, automobile electronics and accessories, and a variety of other products, and is recorded at the lower of depreciated cost or net realizable value. Progressive Leasing depreciates lease merchandise to a 0% salvage value generally over 12 months. Depreciation is accelerated upon early buyout. All of Progressive Leasing's merchandise, net of accumulated depreciation and allowances, represents on-lease merchandise.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records a provision for write-offs using the allowance method. The allowance method for lease merchandise write-offs estimates the merchandise losses incurred but not yet identified by management as of the end of the accounting period based on historical write-off experience. Other qualitative factors, such as current and forecasted customer payment trends, are considered in estimating the allowance. Given the significant uncertainty regarding the impacts of inflation, unemployment rates, and/or the COVID-19 pandemic on our business, a high level of estimation was involved in determining the allowance as of March 31, 2023. Actual lease merchandise write-offs may differ materially from the allowance as of March 31, 2023. If the significant increase in the rate of inflation that began during 2022 continues in future periods, or if the current level of inflation does not decrease, such developments may further adversely impact our customers' ability to continue to make payments to the Company. For customer lease agreements that are past due, the Company's policy is to write off lease merchandise after 120 days.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components of the allowance for lease merchandise write-offs, which is included within lease merchandise, net in the condensed consolidated balance sheets:</w:t>
      </w:r>
    </w:p>
    <w:tbl>
      <w:tblPr>
        <w:tblW w:w="6549" w:type="dxa"/>
        <w:jc w:val="center"/>
        <w:tblInd w:w="0" w:type="dxa"/>
        <w:tblCellMar>
          <w:top w:w="28" w:type="dxa"/>
          <w:left w:w="28" w:type="dxa"/>
          <w:bottom w:w="28" w:type="dxa"/>
          <w:right w:w="28" w:type="dxa"/>
        </w:tblCellMar>
      </w:tblPr>
      <w:tblGrid>
        <w:gridCol w:w="1326"/>
        <w:gridCol w:w="1164"/>
        <w:gridCol w:w="1169"/>
        <w:gridCol w:w="211"/>
        <w:gridCol w:w="721"/>
        <w:gridCol w:w="109"/>
        <w:gridCol w:w="109"/>
        <w:gridCol w:w="109"/>
        <w:gridCol w:w="109"/>
        <w:gridCol w:w="211"/>
        <w:gridCol w:w="721"/>
        <w:gridCol w:w="109"/>
        <w:gridCol w:w="109"/>
        <w:gridCol w:w="109"/>
        <w:gridCol w:w="109"/>
        <w:gridCol w:w="154"/>
      </w:tblGrid>
      <w:tr>
        <w:trPr/>
        <w:tc>
          <w:tcPr>
            <w:tcW w:w="1326"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Book Value of Merchandise Written off</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Write-offs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Vendor Incentives and Rebates Provided to POS Partners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Progressive Leasing has agreements with some of its POS partners that require additional consideration to be paid to the POS partner, including payments for exclusivity, rebates based on lease volume originations generated through the POS partners, and payments to the POS partners for marketing or other development initiatives to promote additional lease originations through these POS partners. Payments made to POS partners as consideration for them providing exclusivity to Progressive Leasing for lease-to-own transactions with customers of the POS partner are expensed on a straight-line basis over the exclusivity term. Rebates are accrued over the period the POS partner is earning the rebate, which is typically based on quarterly or annual lease origination volumes. Payments made to POS partners for marketing or development initiatives are expensed on a straight-line basis over the period the POS partner is earning the funds or the specified marketing term. Progressive Leasing expensed $6.8 million and $6.5 million for such additional consideration to POS partners, during the three months ended March 31, 2023 and 2022, respectively. Expenses related to additional consideration provided to POS partners are classified within operating expenses in the condensed consolidated statements of earnings.</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180" w:after="283"/>
        <w:rPr>
          <w:rFonts w:ascii="Times New Roman;sans-serif" w:hAnsi="Times New Roman;sans-serif"/>
          <w:b/>
          <w:i/>
          <w:color w:val="000000"/>
          <w:sz w:val="20"/>
        </w:rPr>
      </w:pPr>
      <w:bookmarkStart w:id="5" w:name="ib4ab69777931487193b6062d637635ad_34795"/>
      <w:bookmarkEnd w:id="5"/>
      <w:r>
        <w:rPr>
          <w:rFonts w:ascii="Times New Roman;sans-serif" w:hAnsi="Times New Roman;sans-serif"/>
          <w:b/>
          <w:i/>
          <w:color w:val="000000"/>
          <w:sz w:val="20"/>
        </w:rPr>
        <w:t>Loans Receivable, Net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Gross loans receivable primarily represents the principal balances of credit card charges at Vive's participating merchants that remain due from cardholders, plus unpaid interest and fees due from cardholders. The allowance and unamortized fees represent uncollectible amounts; merchant fee discounts, net of capitalized origination costs; promotional fee discounts; and deferred annual card fees. Loans receivable, net, also includes $2.3 million and $5.3 million of outstanding receivables from customers of Four as of March 31, 2023 and December 31, 2022, respectively.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Economic conditions and loan performance trends are closely monitored to manage and evaluate exposure to credit risk. Trends in delinquency rates are an indicator of credit risk within the loans receivable portfolio, including the migration of loans between delinquency categories over time. Charge-off rates represent another indicator of the potential for future credit losses. The risk in the loans receivable portfolio is correlated with broad economic trends, such as current and projected unemployment rates, stock market volatility, and changes in medium and long-term risk-free rates, which are considered in determining the allowance for loan losses and can have a material effect on credit performance.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lifetime losses on loans receivable are recognized upon loan acquisition, which requires the Company to make its best estimate of probable lifetime losses at the time of acquisition. Vive's credit card loans do not have contractually stated maturity dates, which requires the Company to estimate an average life of loan by analyzing historical payment trends to determine an expected remaining life of the loan balance. The Company segments its loans receivable portfolio into homogenous pools by Fair Isaac and Company ("FICO") score and by delinquency status and evaluates loans receivable collectively for impairment when similar risk characteristics exist.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calculates Vive's allowance for loan losses based on internal historical loss information and incorporates observable and forecasted macroeconomic data over a twelve-month reasonable and supportable forecast period. Incorporating macroeconomic data could have a material impact on the measurement of the allowance to the extent that forecasted data changes significantly, such as higher forecasted inflation and unemployment rates. For any periods beyond the twelve-month reasonable and supportable forecast period described above, the Company reverts to using historical loss information on a straight-line basis over a period of six months and utilizes historical loss information for the remaining life of the portfolio. The Company may also consider other qualitative factors in estimating the allowance, as necessary. For the purposes of determining the allowance as of March 31, 2023, management considered other qualitative factors such as the unfavorable impact of the rapid increase in the rate of inflation that began during 2022, and the resulting current level of inflation, as well as the beneficial impact of government stimulus measures to the Company's customer base in 2020 and 2021 that were not fully factored into the macroeconomic forecasted data and resulted in internal historical loss rates incorporated in Vive's baseline allowance estimate being lower than current forecasted loss rates. We believe those stimulus measures may have contributed to the favorable cardholder payment trends experienced at Vive in 2020 and 2021. The allowance for loan losses is maintained at a level considered appropriate to cover expected future losses of principal, interest and fees on active loans in the loans receivable portfolio. The appropriateness of the allowance is evaluated at each period end. If the increase in inflation that began during 2022 continues in future periods, or if the current level of inflation does not decrease, such a development may adversely impact certain customers' ability to continue to make payments to the Company. To the extent that actual results differ from estimates of uncollectible loans receivable, due to the high level of inflation, forecasted higher unemployment rates, unexpected impacts to the economy associated with the the COVID-19 pandemic, or otherwise, the Company's results of operations and liquidity may be materially affected.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Vive's delinquent loans receivable includes those that are 30 days or more past due based on their contractual billing dates. Vive's loans receivable are placed on nonaccrual status when they are greater than 90 days past due or upon notification of cardholder bankruptcy, death or fraud. The Company discontinues accruing interest and fees and amortizing merchant fee discounts and promotional fee discounts for Vive's loans receivable in nonaccrual status. Loans receivable are removed from nonaccrual status when cardholder payments resume, the loan becomes 90 days or less past due and collection of the remaining amounts outstanding is deemed probable. Payments received on nonaccrual loans are allocated according to the same payment hierarchy methodology applied to loans that are accruing interest. Loans receivable are charged off no later than the end of the following month after the billing cycle in which the loans receivable become 120 days past due.</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Vive extends or declines credit to an applicant through its bank partners based upon the applicant's credit rating and other factors. Below is a summary of the credit quality of the Company's loan portfolio as of March 31, 2023 and December 31, 2022 by FICO score as determined at the time of loan origination:</w:t>
      </w:r>
    </w:p>
    <w:tbl>
      <w:tblPr>
        <w:tblW w:w="5021" w:type="dxa"/>
        <w:jc w:val="left"/>
        <w:tblInd w:w="0" w:type="dxa"/>
        <w:tblCellMar>
          <w:top w:w="28" w:type="dxa"/>
          <w:left w:w="28" w:type="dxa"/>
          <w:bottom w:w="28" w:type="dxa"/>
          <w:right w:w="28" w:type="dxa"/>
        </w:tblCellMar>
      </w:tblPr>
      <w:tblGrid>
        <w:gridCol w:w="685"/>
        <w:gridCol w:w="601"/>
        <w:gridCol w:w="604"/>
        <w:gridCol w:w="279"/>
        <w:gridCol w:w="279"/>
        <w:gridCol w:w="701"/>
        <w:gridCol w:w="109"/>
        <w:gridCol w:w="109"/>
        <w:gridCol w:w="109"/>
        <w:gridCol w:w="314"/>
        <w:gridCol w:w="314"/>
        <w:gridCol w:w="917"/>
      </w:tblGrid>
      <w:tr>
        <w:trPr/>
        <w:tc>
          <w:tcPr>
            <w:tcW w:w="68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FICO Score Category</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600 or Less</w:t>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Between 600 and 700</w:t>
            </w:r>
          </w:p>
        </w:tc>
        <w:tc>
          <w:tcPr>
            <w:tcW w:w="5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7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9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700 or Greater</w:t>
            </w:r>
          </w:p>
        </w:tc>
        <w:tc>
          <w:tcPr>
            <w:tcW w:w="5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7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9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Score Identified</w:t>
            </w:r>
          </w:p>
        </w:tc>
        <w:tc>
          <w:tcPr>
            <w:tcW w:w="5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7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9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283"/>
        <w:rPr>
          <w:rFonts w:ascii="Times New Roman;sans-serif" w:hAnsi="Times New Roman;sans-serif"/>
          <w:b/>
          <w:i/>
          <w:color w:val="000000"/>
          <w:sz w:val="20"/>
        </w:rPr>
      </w:pPr>
      <w:bookmarkStart w:id="6" w:name="ib4ab69777931487193b6062d637635ad_34796"/>
      <w:bookmarkEnd w:id="6"/>
      <w:r>
        <w:rPr>
          <w:rFonts w:ascii="Times New Roman;sans-serif" w:hAnsi="Times New Roman;sans-serif"/>
          <w:b/>
          <w:i/>
          <w:color w:val="000000"/>
          <w:sz w:val="20"/>
        </w:rPr>
        <w:t>Prepaid Expenses and Other Assets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 consist of the following:</w:t>
      </w:r>
    </w:p>
    <w:tbl>
      <w:tblPr>
        <w:tblW w:w="8637" w:type="dxa"/>
        <w:jc w:val="left"/>
        <w:tblInd w:w="0" w:type="dxa"/>
        <w:tblCellMar>
          <w:top w:w="28" w:type="dxa"/>
          <w:left w:w="28" w:type="dxa"/>
          <w:bottom w:w="28" w:type="dxa"/>
          <w:right w:w="28" w:type="dxa"/>
        </w:tblCellMar>
      </w:tblPr>
      <w:tblGrid>
        <w:gridCol w:w="1996"/>
        <w:gridCol w:w="1753"/>
        <w:gridCol w:w="1756"/>
        <w:gridCol w:w="255"/>
        <w:gridCol w:w="873"/>
        <w:gridCol w:w="132"/>
        <w:gridCol w:w="109"/>
        <w:gridCol w:w="109"/>
        <w:gridCol w:w="109"/>
        <w:gridCol w:w="300"/>
        <w:gridCol w:w="1026"/>
        <w:gridCol w:w="219"/>
      </w:tblGrid>
      <w:tr>
        <w:trPr/>
        <w:tc>
          <w:tcPr>
            <w:tcW w:w="1996" w:type="dxa"/>
            <w:tcBorders/>
            <w:shd w:fill="auto" w:val="clear"/>
            <w:vAlign w:val="center"/>
          </w:tcPr>
          <w:p>
            <w:pPr>
              <w:pStyle w:val="TableContents"/>
              <w:spacing w:before="0" w:after="283"/>
              <w:rPr>
                <w:sz w:val="4"/>
                <w:szCs w:val="4"/>
              </w:rPr>
            </w:pPr>
            <w:r>
              <w:rPr>
                <w:sz w:val="4"/>
                <w:szCs w:val="4"/>
              </w:rPr>
            </w:r>
          </w:p>
        </w:tc>
        <w:tc>
          <w:tcPr>
            <w:tcW w:w="1753"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5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Lease Merchandise</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7,827 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10,134 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Software Expenses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11,686 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Initial Direct Costs on Lease Agreement Originations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incurs costs to implement cloud computing arrangements ("CCA") that are hosted by third-party vendors. Implementation costs associated with CCA are capitalized when incurred during the application development phase and are recorded within prepaid software expenses above. Amortization is calculated on a straight-line basis over the contractual term of the arrangement and is included within computer software expense as a component of operating expenses in the condensed consolidated statements of earnings. </w:t>
      </w:r>
    </w:p>
    <w:p>
      <w:pPr>
        <w:pStyle w:val="TextBody"/>
        <w:spacing w:lineRule="auto" w:line="288" w:before="180" w:after="283"/>
        <w:rPr>
          <w:rFonts w:ascii="Times New Roman;sans-serif" w:hAnsi="Times New Roman;sans-serif"/>
          <w:b/>
          <w:i/>
          <w:color w:val="000000"/>
          <w:sz w:val="20"/>
        </w:rPr>
      </w:pPr>
      <w:bookmarkStart w:id="7" w:name="ib4ab69777931487193b6062d637635ad_34817"/>
      <w:bookmarkEnd w:id="7"/>
      <w:r>
        <w:rPr>
          <w:rFonts w:ascii="Times New Roman;sans-serif" w:hAnsi="Times New Roman;sans-serif"/>
          <w:b/>
          <w:i/>
          <w:color w:val="000000"/>
          <w:sz w:val="20"/>
        </w:rPr>
        <w:t>Accounts Payable and Accrued Expenses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consist of the following:</w:t>
      </w:r>
    </w:p>
    <w:tbl>
      <w:tblPr>
        <w:tblW w:w="6729" w:type="dxa"/>
        <w:jc w:val="left"/>
        <w:tblInd w:w="0" w:type="dxa"/>
        <w:tblCellMar>
          <w:top w:w="28" w:type="dxa"/>
          <w:left w:w="28" w:type="dxa"/>
          <w:bottom w:w="28" w:type="dxa"/>
          <w:right w:w="28" w:type="dxa"/>
        </w:tblCellMar>
      </w:tblPr>
      <w:tblGrid>
        <w:gridCol w:w="1305"/>
        <w:gridCol w:w="1145"/>
        <w:gridCol w:w="1149"/>
        <w:gridCol w:w="232"/>
        <w:gridCol w:w="908"/>
        <w:gridCol w:w="119"/>
        <w:gridCol w:w="109"/>
        <w:gridCol w:w="109"/>
        <w:gridCol w:w="109"/>
        <w:gridCol w:w="273"/>
        <w:gridCol w:w="1072"/>
        <w:gridCol w:w="199"/>
      </w:tblGrid>
      <w:tr>
        <w:trPr/>
        <w:tc>
          <w:tcPr>
            <w:tcW w:w="1305"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21,366 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and Personal Property Taxes</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13,517 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Uncertain Tax Positions</w:t>
            </w:r>
            <w:r>
              <w:rPr>
                <w:rFonts w:ascii="Times New Roman;sans-serif" w:hAnsi="Times New Roman;sans-serif"/>
                <w:b w:val="false"/>
                <w:color w:val="000000"/>
                <w:sz w:val="13"/>
              </w:rPr>
              <w:t>1</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51,110 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Vendor Rebates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9,320 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 and Liabilities</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24,039 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152,379 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135,025 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90"/>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6"/>
        </w:rPr>
        <w:t>The uncertain tax positions as of March 31, 2023 and December 31, 2022 are primarily related to the Company’s tax treatment of the $175.0 million settlement payment made in 2020 to the FTC as discussed in Note 10 and Note 11 to the consolidated financial statements in the 2022 Annual Report.</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Debt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On November 24, 2020, the Company entered into a credit agreement with a consortium of lenders providing for a $350.0 million senior revolving credit facility (the "Revolving Facility"), under which revolving borrowings became available at the completion of the separation and distribution transaction through which the Company's historical Aaron's Business segment was spun-off into a separate company, and under which all borrowings and commitments will mature or terminate on November 24, 2025. The Company expects that the Revolving Facility will be used to provide for working capital and capital expenditures, to finance future permitted acquisitions, and for other general corporate purposes. If the Company's total net debt to EBITDA ratio as defined by the Revolving Facility exceeds 1.25, the Revolving Facility becomes fully secured for the remaining duration of the Revolving Facility term. As of June 30, 2022, the Company exceeded the 1.25 total net debt to EBITDA ratio and the Revolving Facility became fully secured. The Company had no outstanding borrowings and $350.0 million total available credit under the Revolving Facility as of March 31, 2023 and December 31, 2022.</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On November 26, 2021, the Company entered into an indenture in connection with an offering of $600 million aggregate principal amount of its 6.00% senior unsecured notes due 2029 (the "Senior Notes"). The Senior Notes were issued at 100% of their par value. The Senior Notes are general unsecured obligations of the Company and are guaranteed by certain of the Company’s existing and future domestic subsidiaries.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net proceeds from the Senior Notes were used to fund the purchase price, and related fees and expenses, of the Company’s tender offer to purchase $425 million of the Company’s common stock as discussed in Note 12 to the consolidated financial statements in the 2022 Annual Report. Any remaining proceeds were intended for future share repurchases or, to the extent the Company determines not to repurchase additional shares, for general corporate purposes.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was in compliance with all covenants related to its outstanding debt. See Note 9 to the consolidated financial statements in the 2022 Annual Report for further information regarding the Company's indebtedness.</w:t>
      </w:r>
    </w:p>
    <w:p>
      <w:pPr>
        <w:pStyle w:val="TextBody"/>
        <w:spacing w:lineRule="auto" w:line="288" w:before="180" w:after="283"/>
        <w:rPr>
          <w:rFonts w:ascii="Times New Roman;sans-serif" w:hAnsi="Times New Roman;sans-serif"/>
          <w:b/>
          <w:i/>
          <w:color w:val="000000"/>
          <w:sz w:val="20"/>
        </w:rPr>
      </w:pPr>
      <w:bookmarkStart w:id="8" w:name="ib4ab69777931487193b6062d637635ad_34790"/>
      <w:bookmarkEnd w:id="8"/>
      <w:r>
        <w:rPr>
          <w:rFonts w:ascii="Times New Roman;sans-serif" w:hAnsi="Times New Roman;sans-serif"/>
          <w:b/>
          <w:i/>
          <w:color w:val="000000"/>
          <w:sz w:val="20"/>
        </w:rPr>
        <w:t>Goodwill</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purchase price paid over the fair value of the identifiable net tangible and intangible assets acquired in connection with business acquisitions. Progressive Leasing and Four are the only reporting units with goodwill as of March 31, 2023. Impairment occurs when the reporting unit's carrying value exceeds its fair value. The Company’s goodwill is not amortized but is subject to an impairment test at the reporting unit level annually as of October 1 and more frequently if events or circumstances indicate that an impairment may have occurred. Factors which could necessitate an interim impairment assessment include a sustained decline in the Company’s stock price, prolonged negative industry or economic trends and significant underperformance relative to historical results, projected future operating results, or the Company failing to successfully execute on one or more elements of Progressive Leasing and/or Four's strategic plans.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As of September 30, 2022, the Company determined the Four goodwill was partially impaired and recorded an impairment of goodwill of $10.2 million during the third quarter of 2022. The Company engaged the assistance of a third-party valuation firm to perform the interim goodwill impairment test for the Four reporting unit. This included an assessment of the Four reporting unit's fair value relative to the carrying value that was derived using a market approach. The market approach, which includes the guideline public company method, utilized pricing multiples derived from an analysis of other publicly traded companies that operate in the Buy Now, Pay Later industry. We believe the comparable companies we evaluated as marketplace participants served as an appropriate reference when calculating fair value because those companies have similar risks, participate in similar markets, provide similar products and services for their customers and compete with Four directly. As of March 31, 2023, Four's goodwill balance was $7.3 million. Additional goodwill impairment charges may occur in future periods if the Company fails to execute on one or more elements of Four's strategic plan, Four's actual or projected results are unfavorable compared to the current forecasted operating results, and/or there are further declines in the Buy Now, Pay Later peer market multiples.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completed its annual goodwill impairment test for Progressive Leasing as of October 1, 2022 and concluded that no impairment had occurred. The Company determined that there were no events or circumstances that occurred during the three months ended March 31, 2023 that would more likely than not reduce the fair value of Progressive Leasing or Four below their carrying amounts. </w:t>
      </w:r>
    </w:p>
    <w:p>
      <w:pPr>
        <w:pStyle w:val="TextBody"/>
        <w:spacing w:before="180" w:after="283"/>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180" w:after="283"/>
        <w:rPr>
          <w:rFonts w:ascii="Times New Roman;sans-serif" w:hAnsi="Times New Roman;sans-serif"/>
          <w:b/>
          <w:i/>
          <w:color w:val="000000"/>
          <w:sz w:val="20"/>
        </w:rPr>
      </w:pPr>
      <w:bookmarkStart w:id="9" w:name="ib4ab69777931487193b6062d637635ad_34682"/>
      <w:bookmarkEnd w:id="9"/>
      <w:r>
        <w:rPr>
          <w:rFonts w:ascii="Times New Roman;sans-serif" w:hAnsi="Times New Roman;sans-serif"/>
          <w:b/>
          <w:i/>
          <w:color w:val="000000"/>
          <w:sz w:val="20"/>
        </w:rPr>
        <w:t>Shareholders' Equity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Changes in shareholders' equity for the three months ended March 31, 2023 and 2022 are as follows:</w:t>
      </w:r>
    </w:p>
    <w:tbl>
      <w:tblPr>
        <w:tblW w:w="10205" w:type="dxa"/>
        <w:jc w:val="left"/>
        <w:tblInd w:w="0" w:type="dxa"/>
        <w:tblCellMar>
          <w:top w:w="28" w:type="dxa"/>
          <w:left w:w="28" w:type="dxa"/>
          <w:bottom w:w="28" w:type="dxa"/>
          <w:right w:w="28" w:type="dxa"/>
        </w:tblCellMar>
      </w:tblPr>
      <w:tblGrid>
        <w:gridCol w:w="577"/>
        <w:gridCol w:w="285"/>
        <w:gridCol w:w="286"/>
        <w:gridCol w:w="330"/>
        <w:gridCol w:w="331"/>
        <w:gridCol w:w="196"/>
        <w:gridCol w:w="109"/>
        <w:gridCol w:w="109"/>
        <w:gridCol w:w="109"/>
        <w:gridCol w:w="196"/>
        <w:gridCol w:w="751"/>
        <w:gridCol w:w="109"/>
        <w:gridCol w:w="109"/>
        <w:gridCol w:w="109"/>
        <w:gridCol w:w="109"/>
        <w:gridCol w:w="323"/>
        <w:gridCol w:w="323"/>
        <w:gridCol w:w="196"/>
        <w:gridCol w:w="109"/>
        <w:gridCol w:w="109"/>
        <w:gridCol w:w="109"/>
        <w:gridCol w:w="196"/>
        <w:gridCol w:w="646"/>
        <w:gridCol w:w="109"/>
        <w:gridCol w:w="109"/>
        <w:gridCol w:w="109"/>
        <w:gridCol w:w="109"/>
        <w:gridCol w:w="196"/>
        <w:gridCol w:w="737"/>
        <w:gridCol w:w="109"/>
        <w:gridCol w:w="109"/>
        <w:gridCol w:w="109"/>
        <w:gridCol w:w="109"/>
        <w:gridCol w:w="196"/>
        <w:gridCol w:w="872"/>
        <w:gridCol w:w="109"/>
        <w:gridCol w:w="109"/>
        <w:gridCol w:w="109"/>
        <w:gridCol w:w="109"/>
        <w:gridCol w:w="209"/>
        <w:gridCol w:w="788"/>
        <w:gridCol w:w="173"/>
      </w:tblGrid>
      <w:tr>
        <w:trPr/>
        <w:tc>
          <w:tcPr>
            <w:tcW w:w="57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11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1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2022</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(34,044)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82,079 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570,461 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Reissued Shares</w:t>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(2,393)</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w:t>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(36,769)</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48,033 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2023</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(35,337)</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(995,618)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82,079 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584,792 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tbl>
      <w:tblPr>
        <w:tblW w:w="10205" w:type="dxa"/>
        <w:jc w:val="left"/>
        <w:tblInd w:w="0" w:type="dxa"/>
        <w:tblCellMar>
          <w:top w:w="28" w:type="dxa"/>
          <w:left w:w="28" w:type="dxa"/>
          <w:bottom w:w="28" w:type="dxa"/>
          <w:right w:w="28" w:type="dxa"/>
        </w:tblCellMar>
      </w:tblPr>
      <w:tblGrid>
        <w:gridCol w:w="577"/>
        <w:gridCol w:w="285"/>
        <w:gridCol w:w="286"/>
        <w:gridCol w:w="330"/>
        <w:gridCol w:w="331"/>
        <w:gridCol w:w="196"/>
        <w:gridCol w:w="109"/>
        <w:gridCol w:w="109"/>
        <w:gridCol w:w="109"/>
        <w:gridCol w:w="196"/>
        <w:gridCol w:w="751"/>
        <w:gridCol w:w="109"/>
        <w:gridCol w:w="109"/>
        <w:gridCol w:w="109"/>
        <w:gridCol w:w="109"/>
        <w:gridCol w:w="323"/>
        <w:gridCol w:w="323"/>
        <w:gridCol w:w="196"/>
        <w:gridCol w:w="109"/>
        <w:gridCol w:w="109"/>
        <w:gridCol w:w="109"/>
        <w:gridCol w:w="196"/>
        <w:gridCol w:w="646"/>
        <w:gridCol w:w="109"/>
        <w:gridCol w:w="109"/>
        <w:gridCol w:w="109"/>
        <w:gridCol w:w="109"/>
        <w:gridCol w:w="196"/>
        <w:gridCol w:w="737"/>
        <w:gridCol w:w="109"/>
        <w:gridCol w:w="109"/>
        <w:gridCol w:w="109"/>
        <w:gridCol w:w="109"/>
        <w:gridCol w:w="196"/>
        <w:gridCol w:w="872"/>
        <w:gridCol w:w="109"/>
        <w:gridCol w:w="109"/>
        <w:gridCol w:w="109"/>
        <w:gridCol w:w="109"/>
        <w:gridCol w:w="209"/>
        <w:gridCol w:w="788"/>
        <w:gridCol w:w="173"/>
      </w:tblGrid>
      <w:tr>
        <w:trPr/>
        <w:tc>
          <w:tcPr>
            <w:tcW w:w="57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11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1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2021</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(25,638)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82,079 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679,408 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6,587 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Reissued Shares</w:t>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w:t>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(78,080)</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27,135 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2022</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(822,221)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82,079 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331,055 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1,082,661 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632,534 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100" w:after="283"/>
        <w:rPr/>
      </w:pPr>
      <w:r>
        <w:rPr>
          <w:rFonts w:ascii="Times New Roman;sans-serif" w:hAnsi="Times New Roman;sans-serif"/>
          <w:b w:val="false"/>
          <w:color w:val="000000"/>
          <w:sz w:val="20"/>
        </w:rPr>
        <w:t xml:space="preserve">During the three months ended March 31, 2023, the Company issued 485,749 restricted stock units and 207,838 stock options to certain employees, and 312,469 performance share units to certain employees and third-parties, which vest over one to three-year periods for certain units and upon the achievement of specified performance conditions for other units. The weighted average fair value of the restricted stock and performance share awards was $24.70, which was based on the fair market value of the Company’s common stock on the dates of grant. The weighted average fair value of the stock option awards was $11.66, which was based on a grant date value using a Black-Scholes-Merton option pricing model. The Company will recognize the grant date fair value of the restricted stock units and stock options as stock-based compensation expense over the requisite service period of one to three years. The Company will recognize the grant date fair value of the performance units as stock-based compensation expense over the estimated vesting period based on the Company's projected assessment of the performance conditions that are probable of being achieved in accordance with ASC 718, </w:t>
      </w:r>
      <w:r>
        <w:rPr>
          <w:rFonts w:ascii="Times New Roman;sans-serif" w:hAnsi="Times New Roman;sans-serif"/>
          <w:b w:val="false"/>
          <w:i/>
          <w:color w:val="000000"/>
          <w:sz w:val="20"/>
        </w:rPr>
        <w:t>Stock-based Compensation</w:t>
      </w:r>
      <w:r>
        <w:rPr>
          <w:rFonts w:ascii="Times New Roman;sans-serif" w:hAnsi="Times New Roman;sans-serif"/>
          <w:b w:val="false"/>
          <w:color w:val="000000"/>
          <w:sz w:val="20"/>
        </w:rPr>
        <w:t>.</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Fair Value Measurement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Level 1—Valuations based on quoted prices for identical assets and liabilities in active markets.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Level 2—Valuations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Level 3—Valuations based on unobservable inputs reflecting the Company's own assumptions, consistent with reasonably available assumptions made by other market participants. These valuations require significant judgment.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measures a liability related to its non-qualified deferred compensation plan, which represents benefits accrued for plan participants and is valued at the quoted market prices of the participants' investment election, at fair value on a recurring basis. The Company maintains certain financial assets and liabilities that are not measured at fair value but for which fair value is disclosed.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other current financial assets and liabilities, including cash and cash equivalents, accounts receivable and accounts payable, approximate their carrying values due to their short-term nature. The fair value of any revolving credit borrowings also approximate their carrying amounts.</w:t>
      </w:r>
    </w:p>
    <w:p>
      <w:pPr>
        <w:pStyle w:val="TextBody"/>
        <w:spacing w:lineRule="auto" w:line="288" w:before="180" w:after="283"/>
        <w:rPr>
          <w:rFonts w:ascii="Times New Roman;sans-serif" w:hAnsi="Times New Roman;sans-serif"/>
          <w:b/>
          <w:i/>
          <w:color w:val="000000"/>
          <w:sz w:val="20"/>
        </w:rPr>
      </w:pPr>
      <w:bookmarkStart w:id="10" w:name="ib4ab69777931487193b6062d637635ad_34829"/>
      <w:bookmarkEnd w:id="10"/>
      <w:r>
        <w:rPr>
          <w:rFonts w:ascii="Times New Roman;sans-serif" w:hAnsi="Times New Roman;sans-serif"/>
          <w:b/>
          <w:i/>
          <w:color w:val="000000"/>
          <w:sz w:val="20"/>
        </w:rPr>
        <w:t>Recent Accounting Pronouncements</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Pending Adoption</w:t>
      </w:r>
    </w:p>
    <w:p>
      <w:pPr>
        <w:pStyle w:val="TextBody"/>
        <w:spacing w:lineRule="auto" w:line="288" w:before="100" w:after="283"/>
        <w:rPr/>
      </w:pPr>
      <w:r>
        <w:rPr>
          <w:rFonts w:ascii="Times New Roman;sans-serif" w:hAnsi="Times New Roman;sans-serif"/>
          <w:b w:val="false"/>
          <w:color w:val="000000"/>
          <w:sz w:val="20"/>
        </w:rPr>
        <w:t xml:space="preserve">In March 2020, the FASB issued ASU 2020-04, </w:t>
      </w:r>
      <w:r>
        <w:rPr>
          <w:rFonts w:ascii="Times New Roman;sans-serif" w:hAnsi="Times New Roman;sans-serif"/>
          <w:b w:val="false"/>
          <w:i/>
          <w:color w:val="000000"/>
          <w:sz w:val="20"/>
        </w:rPr>
        <w:t>Reference Rate Reform: Facilitation of the Effects of Reference Rate Reform on Financial Reporting</w:t>
      </w:r>
      <w:r>
        <w:rPr>
          <w:color w:val="000000"/>
        </w:rPr>
        <w:t xml:space="preserve"> </w:t>
      </w:r>
      <w:r>
        <w:rPr>
          <w:rFonts w:ascii="Times New Roman;sans-serif" w:hAnsi="Times New Roman;sans-serif"/>
          <w:b w:val="false"/>
          <w:color w:val="000000"/>
          <w:sz w:val="20"/>
        </w:rPr>
        <w:t>("ASU 2020-04"). The standard provides temporary guidance to ease the potential burden in accounting for reference rate reform primarily resulting from the discontinuation of the London Interbank Overnight Rate ("LIBOR") or another reference rate expected to be discontinued. Entities may apply the provisions of the new standard as of the beginning of the reporting period when the election is made. The provisions of this update have been extended to December 31, 2024, when the reference rate replacement activity is expected to have been completed. The Company's Revolving Facility currently references LIBOR for determining interest payable on outstanding borrowings. The amendments in ASU 2020-04 are elective and apply to all entities that have contracts referencing LIBOR. The new guidance provides an expedient which simplifies accounting analyses under current U.S. GAAP for contract modifications if the change is directly related to a change from LIBOR to a new interest rate index. The Company plans to amend the Revolving Facility agreement to change the reference rate from LIBOR to the Secured Overnight Financing Rate ("SOFR"). The Company does not expect the adoption of ASU 2020-04 to have a material impact to the Company's condensed consolidated financial statements or to any key terms of the Revolving Facility other than the discontinuation of LIBOR.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NOTE 2. FAIR VALUE MEASUREMENT</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Financial Assets and Liabilities Measured at Fair Value on a Recurring Basis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financial liabilities measured at fair value on a recurring basis:</w:t>
      </w:r>
    </w:p>
    <w:tbl>
      <w:tblPr>
        <w:tblW w:w="9262" w:type="dxa"/>
        <w:jc w:val="left"/>
        <w:tblInd w:w="0" w:type="dxa"/>
        <w:tblCellMar>
          <w:top w:w="28" w:type="dxa"/>
          <w:left w:w="28" w:type="dxa"/>
          <w:bottom w:w="28" w:type="dxa"/>
          <w:right w:w="28" w:type="dxa"/>
        </w:tblCellMar>
      </w:tblPr>
      <w:tblGrid>
        <w:gridCol w:w="1016"/>
        <w:gridCol w:w="893"/>
        <w:gridCol w:w="897"/>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54"/>
      </w:tblGrid>
      <w:tr>
        <w:trPr/>
        <w:tc>
          <w:tcPr>
            <w:tcW w:w="1016"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04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8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Liability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the PROG Holdings, Inc. Deferred Compensation Plan, which is an unfunded, nonqualified deferred compensation plan for a select group of management, highly compensated employees and non-employee directors. The liability is recorded in accounts payable and accrued expenses in the condensed consolidated balance sheets. The liability represents benefits accrued for plan participants and is valued at the quoted market prices of the participants’ investment elections, which consist of equity and debt "mirror" funds. As such, the Company has classified the deferred compensation liability as a Level 2 liability. </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Financial Assets and Liabilities Not Measured at Fair Value for Which Fair Value is Disclosed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Vive's loans receivable are measured at amortized cost, net of an allowance for loan losses and unamortized fees in the condensed consolidated balance sheets. In estimating fair value for Vive's loans receivable, the Company utilized a discounted cash flow methodology. The Company used various unobservable inputs reflecting its own assumptions, such as contractual future principal and interest cash flows, future loss rates, and discount rates (which consider current interest rates and are adjusted for credit risk, among other factors).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Four's loans receivable, net of an allowance for loan losses and unamortized fees, are included within loans receivable, net in the condensed consolidated balance sheets and approximated fair value based on a discounted cash flow methodology.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On November 26, 2021, the Company entered into an indenture in connection with its offering of $600 million aggregate principal amount of its Senior Notes due in 2029. The Senior Notes are carried at amortized cost in the condensed consolidated balance sheets and are measured at fair value for disclosure purposes. The fair value of the Senior Notes was estimated based on quoted market prices in less active markets and has been classified as Level 2 in the fair value hierarchy.</w:t>
      </w:r>
    </w:p>
    <w:p>
      <w:pPr>
        <w:pStyle w:val="TextBody"/>
        <w:spacing w:lineRule="auto" w:line="288" w:before="100" w:after="283"/>
        <w:rPr/>
      </w:pPr>
      <w:r>
        <w:rPr>
          <w:rFonts w:ascii="Times New Roman;sans-serif" w:hAnsi="Times New Roman;sans-serif"/>
          <w:b w:val="false"/>
          <w:color w:val="000000"/>
          <w:sz w:val="20"/>
        </w:rPr>
        <w:t>The following table summarizes the fair value of the Company's debt and the loans receivable held by Vive and Four:</w:t>
      </w:r>
      <w:r>
        <w:rPr>
          <w:color w:val="000000"/>
        </w:rPr>
        <w:t> </w:t>
      </w:r>
    </w:p>
    <w:tbl>
      <w:tblPr>
        <w:tblW w:w="9666" w:type="dxa"/>
        <w:jc w:val="left"/>
        <w:tblInd w:w="0" w:type="dxa"/>
        <w:tblCellMar>
          <w:top w:w="28" w:type="dxa"/>
          <w:left w:w="28" w:type="dxa"/>
          <w:bottom w:w="28" w:type="dxa"/>
          <w:right w:w="28" w:type="dxa"/>
        </w:tblCellMar>
      </w:tblPr>
      <w:tblGrid>
        <w:gridCol w:w="707"/>
        <w:gridCol w:w="621"/>
        <w:gridCol w:w="622"/>
        <w:gridCol w:w="211"/>
        <w:gridCol w:w="40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54"/>
      </w:tblGrid>
      <w:tr>
        <w:trPr/>
        <w:tc>
          <w:tcPr>
            <w:tcW w:w="707"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67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 Net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NOTE 3. LOANS RECEIVABLE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loans receivable, net:</w:t>
      </w:r>
    </w:p>
    <w:tbl>
      <w:tblPr>
        <w:tblW w:w="8200" w:type="dxa"/>
        <w:jc w:val="left"/>
        <w:tblInd w:w="0" w:type="dxa"/>
        <w:tblCellMar>
          <w:top w:w="28" w:type="dxa"/>
          <w:left w:w="28" w:type="dxa"/>
          <w:bottom w:w="28" w:type="dxa"/>
          <w:right w:w="28" w:type="dxa"/>
        </w:tblCellMar>
      </w:tblPr>
      <w:tblGrid>
        <w:gridCol w:w="1839"/>
        <w:gridCol w:w="1613"/>
        <w:gridCol w:w="1618"/>
        <w:gridCol w:w="232"/>
        <w:gridCol w:w="908"/>
        <w:gridCol w:w="119"/>
        <w:gridCol w:w="109"/>
        <w:gridCol w:w="109"/>
        <w:gridCol w:w="109"/>
        <w:gridCol w:w="273"/>
        <w:gridCol w:w="1072"/>
        <w:gridCol w:w="199"/>
      </w:tblGrid>
      <w:tr>
        <w:trPr/>
        <w:tc>
          <w:tcPr>
            <w:tcW w:w="1839" w:type="dxa"/>
            <w:tcBorders/>
            <w:shd w:fill="auto" w:val="clear"/>
            <w:vAlign w:val="center"/>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0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 Gross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184,601 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Unamortized Fees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(10,368)</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(11,207)</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 Amortized Cost</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162,133 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173,394 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Allowance for Loan Losses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(39,781)</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(42,428)</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Loans Receivable, Net of Allowances and Unamortized Fees</w:t>
            </w:r>
            <w:r>
              <w:rPr>
                <w:rFonts w:ascii="Times New Roman;sans-serif" w:hAnsi="Times New Roman;sans-serif"/>
                <w:b w:val="false"/>
                <w:color w:val="000000"/>
                <w:sz w:val="13"/>
              </w:rPr>
              <w:t>1</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122,352 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130,966 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90"/>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Loans Receivable, Net of Allowances and Unamortized Fees, attributable to Four was $2.3 million and $5.3 million as of March 31, 2023 and December 31, 2022, respectively.</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credit quality indicators of the amortized cost of the Company's loans receivable by origination year:</w:t>
      </w:r>
    </w:p>
    <w:tbl>
      <w:tblPr>
        <w:tblW w:w="10205" w:type="dxa"/>
        <w:jc w:val="center"/>
        <w:tblInd w:w="0" w:type="dxa"/>
        <w:tblCellMar>
          <w:top w:w="28" w:type="dxa"/>
          <w:left w:w="28" w:type="dxa"/>
          <w:bottom w:w="28" w:type="dxa"/>
          <w:right w:w="28" w:type="dxa"/>
        </w:tblCellMar>
      </w:tblPr>
      <w:tblGrid>
        <w:gridCol w:w="1296"/>
        <w:gridCol w:w="1094"/>
        <w:gridCol w:w="1097"/>
        <w:gridCol w:w="211"/>
        <w:gridCol w:w="616"/>
        <w:gridCol w:w="109"/>
        <w:gridCol w:w="109"/>
        <w:gridCol w:w="109"/>
        <w:gridCol w:w="109"/>
        <w:gridCol w:w="211"/>
        <w:gridCol w:w="616"/>
        <w:gridCol w:w="109"/>
        <w:gridCol w:w="109"/>
        <w:gridCol w:w="109"/>
        <w:gridCol w:w="109"/>
        <w:gridCol w:w="312"/>
        <w:gridCol w:w="601"/>
        <w:gridCol w:w="161"/>
        <w:gridCol w:w="109"/>
        <w:gridCol w:w="109"/>
        <w:gridCol w:w="109"/>
        <w:gridCol w:w="233"/>
        <w:gridCol w:w="916"/>
        <w:gridCol w:w="120"/>
        <w:gridCol w:w="109"/>
        <w:gridCol w:w="109"/>
        <w:gridCol w:w="109"/>
        <w:gridCol w:w="211"/>
        <w:gridCol w:w="826"/>
        <w:gridCol w:w="158"/>
      </w:tblGrid>
      <w:tr>
        <w:trPr/>
        <w:tc>
          <w:tcPr>
            <w:tcW w:w="1296"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As of March 31, 2023</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and Prior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 Loans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4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FICO Score Category:</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600 or Less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Between 600 and 700</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126,302 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126,302 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700 or Greater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Score Identified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Amortized Cost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158,383 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162,133 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Charge-offs by Origination Year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Included in the table below is an aging of the loans receivable, gross balance:</w:t>
      </w:r>
    </w:p>
    <w:tbl>
      <w:tblPr>
        <w:tblW w:w="10205" w:type="dxa"/>
        <w:jc w:val="left"/>
        <w:tblInd w:w="0" w:type="dxa"/>
        <w:tblCellMar>
          <w:top w:w="28" w:type="dxa"/>
          <w:left w:w="28" w:type="dxa"/>
          <w:bottom w:w="28" w:type="dxa"/>
          <w:right w:w="28" w:type="dxa"/>
        </w:tblCellMar>
      </w:tblPr>
      <w:tblGrid>
        <w:gridCol w:w="2593"/>
        <w:gridCol w:w="2268"/>
        <w:gridCol w:w="2276"/>
        <w:gridCol w:w="293"/>
        <w:gridCol w:w="564"/>
        <w:gridCol w:w="376"/>
        <w:gridCol w:w="109"/>
        <w:gridCol w:w="109"/>
        <w:gridCol w:w="109"/>
        <w:gridCol w:w="340"/>
        <w:gridCol w:w="654"/>
        <w:gridCol w:w="514"/>
      </w:tblGrid>
      <w:tr>
        <w:trPr/>
        <w:tc>
          <w:tcPr>
            <w:tcW w:w="2593" w:type="dxa"/>
            <w:tcBorders/>
            <w:shd w:fill="auto" w:val="clear"/>
            <w:vAlign w:val="center"/>
          </w:tcPr>
          <w:p>
            <w:pPr>
              <w:pStyle w:val="TableContents"/>
              <w:spacing w:before="0" w:after="283"/>
              <w:rPr>
                <w:sz w:val="4"/>
                <w:szCs w:val="4"/>
              </w:rPr>
            </w:pPr>
            <w:r>
              <w:rPr>
                <w:sz w:val="4"/>
                <w:szCs w:val="4"/>
              </w:rPr>
            </w:r>
          </w:p>
        </w:tc>
        <w:tc>
          <w:tcPr>
            <w:tcW w:w="2268" w:type="dxa"/>
            <w:tcBorders/>
            <w:shd w:fill="auto" w:val="clear"/>
            <w:vAlign w:val="center"/>
          </w:tcPr>
          <w:p>
            <w:pPr>
              <w:pStyle w:val="TableContents"/>
              <w:spacing w:before="0" w:after="283"/>
              <w:rPr>
                <w:sz w:val="4"/>
                <w:szCs w:val="4"/>
              </w:rPr>
            </w:pPr>
            <w:r>
              <w:rPr>
                <w:sz w:val="4"/>
                <w:szCs w:val="4"/>
              </w:rPr>
            </w:r>
          </w:p>
        </w:tc>
        <w:tc>
          <w:tcPr>
            <w:tcW w:w="227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r>
      <w:tr>
        <w:trPr/>
        <w:tc>
          <w:tcPr>
            <w:tcW w:w="71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 Amounts in Thousands)</w:t>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Aging Category</w:t>
            </w:r>
          </w:p>
        </w:tc>
        <w:tc>
          <w:tcPr>
            <w:tcW w:w="12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1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30-59 Days Past Due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60-89 Days Past Due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 or More Days Past Due</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5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Past Due Loans Receivable</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Loans Receivable</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5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3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8" w:type="dxa"/>
            <w:gridSpan w:val="3"/>
            <w:tcBorders/>
            <w:shd w:fill="auto" w:val="clear"/>
            <w:vAlign w:val="center"/>
          </w:tcPr>
          <w:p>
            <w:pPr>
              <w:pStyle w:val="TableContents"/>
              <w:spacing w:before="0" w:after="283"/>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of Credit Card Loans on Nonaccrual Status</w:t>
            </w:r>
          </w:p>
        </w:tc>
        <w:tc>
          <w:tcPr>
            <w:tcW w:w="85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4,269 </w:t>
            </w:r>
          </w:p>
        </w:tc>
        <w:tc>
          <w:tcPr>
            <w:tcW w:w="37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of Loans Receivable 90 or More Days Past Due and Still Accruing Interest and Fees</w:t>
            </w:r>
          </w:p>
        </w:tc>
        <w:tc>
          <w:tcPr>
            <w:tcW w:w="2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5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components of the allowance for loan losses for the three months ended March 31, 2023 and 2022:</w:t>
      </w:r>
    </w:p>
    <w:tbl>
      <w:tblPr>
        <w:tblW w:w="5110" w:type="dxa"/>
        <w:jc w:val="center"/>
        <w:tblInd w:w="0" w:type="dxa"/>
        <w:tblCellMar>
          <w:top w:w="28" w:type="dxa"/>
          <w:left w:w="28" w:type="dxa"/>
          <w:bottom w:w="28" w:type="dxa"/>
          <w:right w:w="28" w:type="dxa"/>
        </w:tblCellMar>
      </w:tblPr>
      <w:tblGrid>
        <w:gridCol w:w="805"/>
        <w:gridCol w:w="706"/>
        <w:gridCol w:w="709"/>
        <w:gridCol w:w="211"/>
        <w:gridCol w:w="721"/>
        <w:gridCol w:w="109"/>
        <w:gridCol w:w="109"/>
        <w:gridCol w:w="109"/>
        <w:gridCol w:w="109"/>
        <w:gridCol w:w="211"/>
        <w:gridCol w:w="721"/>
        <w:gridCol w:w="109"/>
        <w:gridCol w:w="109"/>
        <w:gridCol w:w="109"/>
        <w:gridCol w:w="109"/>
        <w:gridCol w:w="154"/>
      </w:tblGrid>
      <w:tr>
        <w:trPr/>
        <w:tc>
          <w:tcPr>
            <w:tcW w:w="805"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NOTE 4. COMMITMENTS AND CONTINGENCIES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Legal and Regulatory Proceedings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is party to various legal and regulatory proceedings arising in the ordinary course of business.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Some of the proceedings to which the Company is currently a party are described below. The Company believes it has meritorious defenses to all of the claims described below, and intends to vigorously defend against the claims. However, these proceedings are still developing and due to the inherent uncertainty in litigation, regulatory and similar adversarial proceedings, there can be no guarantee that the Company will ultimately be successful in these proceedings, or in others to which it is currently a party. Substantial losses from these proceedings or the costs of defending them could have a material adverse impact upon the Company’s business, financial position and results of operations.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establishes an accrued liability for legal and regulatory proceedings when it determines that a loss is both probable and the amount of the loss can be reasonably estimated. The Company continually monitors its litigation and regulatory exposure and reviews the adequacy of its legal and regulatory reserves on a quarterly basis. The amount of any loss ultimately incurred in relation to matters for which an accrual has been established may be higher or lower than the amounts accrued for such matters.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and December 31, 2022, the Company had accrued $0.5 million and $0.6 million, respectively, for pending legal and regulatory matters for which it believes losses are probable and the amount of the loss can be reasonably estimated. The Company records its best estimate of the loss to legal and regulatory liabilities in accounts payable and accrued expenses in the condensed consolidated balance sheets. The Company estimates the aggregate range of reasonably possible loss in excess of accrued liabilities for such probable loss contingencies is immaterial. Those matters for which a probable loss cannot be reasonably estimated are not included within the estimated ranges.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estimated that the aggregate range of loss for all material pending legal and regulatory proceedings for which a loss is reasonably possible, but less likely than probable (i.e., excluding the contingencies described in the preceding paragraph), is immaterial. Those matters for which a reasonable estimate is not possible are not included within estimated ranges and, therefore, the estimated ranges do not represent the Company's maximum loss exposure. The Company’s estimates for legal and regulatory accruals, aggregate probable loss amounts and reasonably possible loss amounts are all subject to the uncertainties and variables described above.</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Regulatory Inquiries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 January 2021, the Company, along with other lease-to-own companies, received a subpoena from the California Department of Financial Protection and Innovation (the "DFPI") requesting the production of documents regarding the Company’s compliance with state consumer protection laws, including new legislation that went into effect on January 1, 2021. Although the Company believes it is in compliance with all applicable consumer financial laws and regulations in California, this inquiry may lead to an enforcement action and/or a consent order, and substantial costs, including legal fees, fines, penalties, and remediation expenses. While the Company intends to preserve defenses surrounding the jurisdiction of DFPI in this matter, it has fully cooperated, and anticipates continuing to cooperate, with the DFPI in responding to its inquiry.</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Litigation Matters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On August 25, 2022, the Pennsylvania Attorney General filed a complaint against Progressive Leasing in the Philadelphia County Court of Common Pleas alleging, among other things, that Progressive Leasing was operating in the Commonwealth of Pennsylvania in violation of the Pennsylvania Rental Purchase Agreement Act by failing to disclose certain terms and conditions of rent-to-own ("RTO") transactions on "hang tags" physically attached to RTO merchandise. The complaint seeks, among other things, to convert all RTO agreements entered into by Progressive Leasing prior to September 9, 2022 into retail installment contracts for which the maximum interest rate is 6% per annum, civil penalties in the amount of $1,000 for each violation of Pennsylvania’s Unfair Trade Practices and Consumer Protection Law (and $3,000 for each such violation involving a consumer age 60 or older) and unspecified investigation and prosecution costs. Progressive Leasing believes the Pennsylvania Attorney General’s claims are without merit and intends to vigorously defend itself in this matter.</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Other Contingencies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regularly assesses the Company’s insurance deductibles, monitors the Company's litigation and regulatory exposure with the Company's attorneys and evaluates its loss experience. The Company also enters into various contracts in the normal course of business that may subject it to risk of financial loss if counterparties fail to perform their contractual obligations.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Off-Balance Sheet Risk</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through its Vive segment, had unconditionally cancellable unfunded lending commitments totaling $521.9 million and $513.7 million as of March 31, 2023 and December 31, 2022,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NOTE 5. RESTRUCTURING EXPENSES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During 2022, the Company initiated restructuring activities intended to reduce expenses, consolidate certain segment corporate headquarters, and align the cost structure of the business with the Company's near-term revenue outlook. The Company continued such activities during the first quarter of 2023 and recorded restructuring expenses of $0.8 million for the three months ended March 31, 2023, resulting in aggregate expenses of $9.8 million since the inception of the restructuring activities in 2022. These costs were primarily comprised of employee severance within Progressive Leasing and operating lease right-of-use asset impairment charges related to the relocation of the Vive corporate headquarters to the Company's corporate office building and a reduction of call center office space. The Company will continue to monitor the impacts of changes in macroeconomic conditions on its businesses and may take additional steps to further adjust the Company's cost structure based on unfavorable changes in these conditions, which may result in further restructuring charges in future periods.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restructuring charges recorded within operating expenses in the condensed consolidated statements of earnings for the three months ended March 31, 2023: </w:t>
      </w:r>
    </w:p>
    <w:tbl>
      <w:tblPr>
        <w:tblW w:w="7373" w:type="dxa"/>
        <w:jc w:val="left"/>
        <w:tblInd w:w="0" w:type="dxa"/>
        <w:tblCellMar>
          <w:top w:w="28" w:type="dxa"/>
          <w:left w:w="28" w:type="dxa"/>
          <w:bottom w:w="28" w:type="dxa"/>
          <w:right w:w="28" w:type="dxa"/>
        </w:tblCellMar>
      </w:tblPr>
      <w:tblGrid>
        <w:gridCol w:w="1008"/>
        <w:gridCol w:w="777"/>
        <w:gridCol w:w="779"/>
        <w:gridCol w:w="413"/>
        <w:gridCol w:w="915"/>
        <w:gridCol w:w="217"/>
        <w:gridCol w:w="109"/>
        <w:gridCol w:w="109"/>
        <w:gridCol w:w="109"/>
        <w:gridCol w:w="211"/>
        <w:gridCol w:w="406"/>
        <w:gridCol w:w="109"/>
        <w:gridCol w:w="109"/>
        <w:gridCol w:w="109"/>
        <w:gridCol w:w="109"/>
        <w:gridCol w:w="211"/>
        <w:gridCol w:w="406"/>
        <w:gridCol w:w="109"/>
        <w:gridCol w:w="109"/>
        <w:gridCol w:w="109"/>
        <w:gridCol w:w="109"/>
        <w:gridCol w:w="211"/>
        <w:gridCol w:w="466"/>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Progressive Leasing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Vive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Restructuring Activities</w:t>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Expenses</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accrual and payment activity related to the restructuring program for the three months ended March 31, 2023:</w:t>
      </w:r>
    </w:p>
    <w:tbl>
      <w:tblPr>
        <w:tblW w:w="7803" w:type="dxa"/>
        <w:jc w:val="left"/>
        <w:tblInd w:w="0" w:type="dxa"/>
        <w:tblCellMar>
          <w:top w:w="28" w:type="dxa"/>
          <w:left w:w="28" w:type="dxa"/>
          <w:bottom w:w="28" w:type="dxa"/>
          <w:right w:w="28" w:type="dxa"/>
        </w:tblCellMar>
      </w:tblPr>
      <w:tblGrid>
        <w:gridCol w:w="941"/>
        <w:gridCol w:w="826"/>
        <w:gridCol w:w="828"/>
        <w:gridCol w:w="109"/>
        <w:gridCol w:w="109"/>
        <w:gridCol w:w="109"/>
        <w:gridCol w:w="211"/>
        <w:gridCol w:w="616"/>
        <w:gridCol w:w="109"/>
        <w:gridCol w:w="109"/>
        <w:gridCol w:w="109"/>
        <w:gridCol w:w="109"/>
        <w:gridCol w:w="715"/>
        <w:gridCol w:w="1223"/>
        <w:gridCol w:w="372"/>
        <w:gridCol w:w="109"/>
        <w:gridCol w:w="109"/>
        <w:gridCol w:w="109"/>
        <w:gridCol w:w="211"/>
        <w:gridCol w:w="616"/>
        <w:gridCol w:w="154"/>
      </w:tblGrid>
      <w:tr>
        <w:trPr/>
        <w:tc>
          <w:tcPr>
            <w:tcW w:w="94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Severance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Restructuring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NOTE 6. SEGMENTS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Company has two reportable segments: Progressive Leasing and Vive.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Progressive Leasing partners with traditional and e-commerce retailers, primarily in the consumer residential electronics, furniture and appliance, jewelry, mobile phones and accessories, mattresses, and automobile electronics and accessories industries to offer a lease-purchase solution primarily for customers who may not have access to traditional credit-based financing options. It does so by offering leases with monthly, semi-monthly, bi-weekly and weekly payment frequencies.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Vive offers a variety of second-look financing programs originated through third-party federally insured banks to customers of participating merchants and, together with Progressive Leasing, allows the Company to provide POS partners with near-prime and below-prime customers one source for financing and leasing transactions.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Four is an innovative BNPL company that allows shoppers to pay for merchandise through four interest-free installments. Four is not a reportable segment for the three month periods ended March 31, 2023 and 2022 as its financial results are not material to the Company's condensed consolidated financial results. The revenues, loss before income taxes, and assets within "other" below are primarily comprised of the operating activities of Four.</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Disaggregated Revenue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 by source and by segment for the three months ended March 31, 2023 and 2022:</w:t>
      </w:r>
    </w:p>
    <w:tbl>
      <w:tblPr>
        <w:tblW w:w="10205" w:type="dxa"/>
        <w:jc w:val="left"/>
        <w:tblInd w:w="0" w:type="dxa"/>
        <w:tblCellMar>
          <w:top w:w="28" w:type="dxa"/>
          <w:left w:w="28" w:type="dxa"/>
          <w:bottom w:w="28" w:type="dxa"/>
          <w:right w:w="28" w:type="dxa"/>
        </w:tblCellMar>
      </w:tblPr>
      <w:tblGrid>
        <w:gridCol w:w="627"/>
        <w:gridCol w:w="378"/>
        <w:gridCol w:w="379"/>
        <w:gridCol w:w="220"/>
        <w:gridCol w:w="862"/>
        <w:gridCol w:w="113"/>
        <w:gridCol w:w="211"/>
        <w:gridCol w:w="721"/>
        <w:gridCol w:w="109"/>
        <w:gridCol w:w="211"/>
        <w:gridCol w:w="466"/>
        <w:gridCol w:w="109"/>
        <w:gridCol w:w="211"/>
        <w:gridCol w:w="826"/>
        <w:gridCol w:w="109"/>
        <w:gridCol w:w="220"/>
        <w:gridCol w:w="862"/>
        <w:gridCol w:w="113"/>
        <w:gridCol w:w="211"/>
        <w:gridCol w:w="721"/>
        <w:gridCol w:w="109"/>
        <w:gridCol w:w="211"/>
        <w:gridCol w:w="466"/>
        <w:gridCol w:w="109"/>
        <w:gridCol w:w="211"/>
        <w:gridCol w:w="826"/>
        <w:gridCol w:w="109"/>
        <w:gridCol w:w="109"/>
        <w:gridCol w:w="109"/>
        <w:gridCol w:w="109"/>
        <w:gridCol w:w="158"/>
      </w:tblGrid>
      <w:tr>
        <w:trPr/>
        <w:tc>
          <w:tcPr>
            <w:tcW w:w="627"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8"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4168"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Progressive Leasing</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Vive</w:t>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Progressive Leasing</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Vive</w:t>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3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Lease Revenues and Fees</w:t>
            </w:r>
            <w:r>
              <w:rPr>
                <w:rFonts w:ascii="Times New Roman;sans-serif" w:hAnsi="Times New Roman;sans-serif"/>
                <w:b w:val="false"/>
                <w:color w:val="000000"/>
                <w:sz w:val="13"/>
              </w:rPr>
              <w:t>1</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637,082 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692,914 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Interest and Fees on Loans Receivable</w:t>
            </w:r>
            <w:r>
              <w:rPr>
                <w:rFonts w:ascii="Times New Roman;sans-serif" w:hAnsi="Times New Roman;sans-serif"/>
                <w:b w:val="false"/>
                <w:color w:val="000000"/>
                <w:sz w:val="13"/>
              </w:rPr>
              <w:t>2</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637,082 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692,914 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Revenue within the scope of ASC 842, </w:t>
      </w:r>
      <w:r>
        <w:rPr>
          <w:rFonts w:ascii="Times New Roman;sans-serif" w:hAnsi="Times New Roman;sans-serif"/>
          <w:b w:val="false"/>
          <w:i/>
          <w:color w:val="000000"/>
          <w:sz w:val="16"/>
        </w:rPr>
        <w:t>Leases</w:t>
      </w:r>
      <w:r>
        <w:rPr>
          <w:rFonts w:ascii="Times New Roman;sans-serif" w:hAnsi="Times New Roman;sans-serif"/>
          <w:b w:val="false"/>
          <w:color w:val="000000"/>
          <w:sz w:val="16"/>
        </w:rPr>
        <w:t>.</w:t>
      </w:r>
    </w:p>
    <w:p>
      <w:pPr>
        <w:pStyle w:val="TextBody"/>
        <w:spacing w:lineRule="auto" w:line="288" w:before="60" w:after="283"/>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 xml:space="preserve">Revenue within the scope of ASC 310, </w:t>
      </w:r>
      <w:r>
        <w:rPr>
          <w:rFonts w:ascii="Times New Roman;sans-serif" w:hAnsi="Times New Roman;sans-serif"/>
          <w:b w:val="false"/>
          <w:i/>
          <w:color w:val="000000"/>
          <w:sz w:val="16"/>
        </w:rPr>
        <w:t>Receivables</w:t>
      </w:r>
      <w:r>
        <w:rPr>
          <w:rFonts w:ascii="Times New Roman;sans-serif" w:hAnsi="Times New Roman;sans-serif"/>
          <w:b w:val="false"/>
          <w:color w:val="000000"/>
          <w:sz w:val="16"/>
        </w:rPr>
        <w:t>.</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Measurement of Segment Profit or Loss and Segment Assets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evaluates performance and allocates resources based on revenues and earnings (loss) before income taxes from operations. The Company determines earnings (loss) before income tax expense for all reportable segments in accordance with U.S. GAAP. A portion of interest expense is allocated from the Progressive Leasing segment to the Vive segment based on the balance of outstanding intercompany debt.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various corporate overhead expenses for certain executive management, finance, treasury, tax, audit, legal, risk management, and other overhead functions during the three months ended March 31, 2023 and 2022. Corporate overhead expenses incurred are primarily reflected as expenses of the Progressive Leasing segment and an immaterial amount was allocated to the Vive segment. The allocation of corporate overhead costs to the Progressive Leasing and Vive segments is consistent with how the chief operating decision maker analyzed performance and allocated resources among the segments of the Company during the three months ended March 31, 2023 and 2022. The following is a summary of earnings before income tax expense by segment: </w:t>
      </w:r>
    </w:p>
    <w:tbl>
      <w:tblPr>
        <w:tblW w:w="6098" w:type="dxa"/>
        <w:jc w:val="left"/>
        <w:tblInd w:w="0" w:type="dxa"/>
        <w:tblCellMar>
          <w:top w:w="28" w:type="dxa"/>
          <w:left w:w="28" w:type="dxa"/>
          <w:bottom w:w="28" w:type="dxa"/>
          <w:right w:w="28" w:type="dxa"/>
        </w:tblCellMar>
      </w:tblPr>
      <w:tblGrid>
        <w:gridCol w:w="1321"/>
        <w:gridCol w:w="1160"/>
        <w:gridCol w:w="1163"/>
        <w:gridCol w:w="211"/>
        <w:gridCol w:w="721"/>
        <w:gridCol w:w="109"/>
        <w:gridCol w:w="109"/>
        <w:gridCol w:w="109"/>
        <w:gridCol w:w="109"/>
        <w:gridCol w:w="211"/>
        <w:gridCol w:w="721"/>
        <w:gridCol w:w="154"/>
      </w:tblGrid>
      <w:tr>
        <w:trPr/>
        <w:tc>
          <w:tcPr>
            <w:tcW w:w="1321"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Before Income Tax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Earnings Before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interest expense, net by segment: </w:t>
      </w:r>
    </w:p>
    <w:tbl>
      <w:tblPr>
        <w:tblW w:w="4748" w:type="dxa"/>
        <w:jc w:val="left"/>
        <w:tblInd w:w="0" w:type="dxa"/>
        <w:tblCellMar>
          <w:top w:w="28" w:type="dxa"/>
          <w:left w:w="28" w:type="dxa"/>
          <w:bottom w:w="28" w:type="dxa"/>
          <w:right w:w="28" w:type="dxa"/>
        </w:tblCellMar>
      </w:tblPr>
      <w:tblGrid>
        <w:gridCol w:w="837"/>
        <w:gridCol w:w="735"/>
        <w:gridCol w:w="737"/>
        <w:gridCol w:w="222"/>
        <w:gridCol w:w="728"/>
        <w:gridCol w:w="114"/>
        <w:gridCol w:w="114"/>
        <w:gridCol w:w="114"/>
        <w:gridCol w:w="114"/>
        <w:gridCol w:w="222"/>
        <w:gridCol w:w="649"/>
        <w:gridCol w:w="162"/>
      </w:tblGrid>
      <w:tr>
        <w:trPr/>
        <w:tc>
          <w:tcPr>
            <w:tcW w:w="83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Interest Expense, Net: </w:t>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w:t>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9,528 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w:t>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w:t>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w:t>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Net</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9,629 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total assets by segment:</w:t>
      </w:r>
    </w:p>
    <w:tbl>
      <w:tblPr>
        <w:tblW w:w="4908" w:type="dxa"/>
        <w:jc w:val="left"/>
        <w:tblInd w:w="0" w:type="dxa"/>
        <w:tblCellMar>
          <w:top w:w="28" w:type="dxa"/>
          <w:left w:w="28" w:type="dxa"/>
          <w:bottom w:w="28" w:type="dxa"/>
          <w:right w:w="28" w:type="dxa"/>
        </w:tblCellMar>
      </w:tblPr>
      <w:tblGrid>
        <w:gridCol w:w="631"/>
        <w:gridCol w:w="554"/>
        <w:gridCol w:w="555"/>
        <w:gridCol w:w="211"/>
        <w:gridCol w:w="976"/>
        <w:gridCol w:w="109"/>
        <w:gridCol w:w="109"/>
        <w:gridCol w:w="109"/>
        <w:gridCol w:w="109"/>
        <w:gridCol w:w="243"/>
        <w:gridCol w:w="1125"/>
        <w:gridCol w:w="177"/>
      </w:tblGrid>
      <w:tr>
        <w:trPr/>
        <w:tc>
          <w:tcPr>
            <w:tcW w:w="631"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7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1,335,014 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1,309,487 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155,846 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1,491,909 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280" w:after="283"/>
        <w:ind w:left="0" w:right="0" w:hanging="81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Special Note Regarding Forward-Looking Information: Except for historical information contained herein, the matters set forth in this Form 10-Q are forward-looking statements. These statements are based on management’s current expectations and plans, which involve risks and uncertainties. Such forward-looking statements generally can be identified by the use of forward-looking terminology such as "anticipate," "believe," "could," "estimate," "expect," "intend," "plan," "project," "would," "should," and similar expressions. You are cautioned not to place undue reliance on these forward-looking statements, which speak only as of the filing date of this Quarterly Report and which involve risks and uncertainties that may cause actual results to differ materially from those set forth in these statements. These risks and uncertainties include factors that could cause our actual results and financial condition to differ materially from those expressed or implied in our forward-looking statements. Such risks and uncertainties include, among others, those discussed in "Item 1A. Risk Factors" in the Company's Annual Report on Form 10-K for the fiscal year ended December 31, 2022 (the "2022 Annual Report"). Except as required by law, the Company undertakes no obligation to update these forward-looking statements to reflect subsequent events or circumstances after the filing date of this Quarterly Report.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should be read in conjunction with the condensed consolidated financial statements as of and for the three months ended March 31, 2023 and 2022, including the notes to those statements, appearing elsewhere in this report. We also suggest that management’s discussion and analysis appearing in this report be read in conjunction with the management’s discussion and analysis and consolidated financial statements included in our 2022 Annual Report. </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PROG Holdings, Inc. ("we," "our," "us," the "Company," or "PROG Holdings") is a financial technology holding company that provides transparent and competitive payment options to consumers. PROG Holdings has two reportable segments: (i) Progressive Leasing, an in-store, app-based, and e-commerce point-of-sale lease-to-own solutions provider; and (ii) Vive Financial ("Vive"), an omnichannel provider of second-look revolving credit products.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Progressive Leasing segment provides consumers with lease-purchase solutions through its point-of-sale partner locations and e-commerce website partners (collectively, "POS partners"). It does so by purchasing the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On June 25, 2021, the Company completed the acquisition of Four Technologies, Inc. ("Four"), an innovative Buy Now, Pay Later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financial technology offerings. Shoppers use Four to purchase furniture, clothing, electronics, health and beauty products, footwear, jewelry, and other consumer goods from retailers across the United States. Four is not expected to be a reportable segment in 2023 as its financial results are not expected to be material to the Company's consolidated financial results in 2023. Four's financial results are reported within "Other" for segment reporting purposes.</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Macroeconomic and Business Environment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operate in a challenging macroeconomic environment. The rapid increase in the rate of inflation during 2022, which has continued in 2023, particularly in gas, food, and housing costs, which we believe disproportionately negatively affects the customers we serve and therefore our customers' ability to make the payments they owe to the Company. These macroeconomic challenges have resulted in an unfavorable impact on our lease portfolio performance and Gross Merchandise Volume ("GMV") during 2022 and the first quarter of 2023. Customer payment delinquencies and uncollectible renewal payments experienced within our Progressive Leasing segment during much of 2022 significantly exceeded levels experienced during pre-pandemic periods. In response to increasing customer delinquencies and higher write-offs, Progressive Leasing tightened its lease decisioning several times during 2022, resulting in fewer lease approvals and an adverse impact on GMV in 2022 and the first quarter of 2023. Levels of customer payment delinquencies and uncollectible renewal payments for leases originated after Progressive Leasing further tightened its lease decisioning in mid-2022 improved to levels consistent with pre-pandemic lease portfolio performance. The relatively high levels of customer payment delinquencies and related write-offs associated with leases originated prior to the Company's further tightening of its lease decisioning in mid-2022 may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continue for an extended period of time, and/or may increase to even higher levels, which would have an unfavorable impact on our performance. Furthermore, increasing unemployment rates and/or a recession in the United States may result in increasing levels of customer payment delinquencies and related write-offs, which would result in an unfavorable impact on our performance.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significant increase in inflation and interest rates, and fears of a possible recession have also unfavorably impacted consumer confidence within our customer base, resulting in a decrease in demand for the types of merchandise offered by many of our key national and regional POS partners. In light of these macroeconomic challenges and to align the cost structure of our business with our near-term revenue outlook, the Company executed on a number of cost reduction initiatives during 2022 and the first quarter of 2023 to drive efficiencies and right-size variable costs, while attempting to minimize the negative impact on growth-related initiatives.</w:t>
      </w:r>
    </w:p>
    <w:p>
      <w:pPr>
        <w:pStyle w:val="TextBody"/>
        <w:spacing w:lineRule="auto" w:line="288" w:before="100" w:after="283"/>
        <w:rPr/>
      </w:pPr>
      <w:r>
        <w:rPr>
          <w:rFonts w:ascii="Times New Roman;sans-serif" w:hAnsi="Times New Roman;sans-serif"/>
          <w:b w:val="false"/>
          <w:i/>
          <w:color w:val="000000"/>
          <w:sz w:val="20"/>
        </w:rPr>
        <w:t xml:space="preserve">COVID-19 Pandemic. </w:t>
      </w:r>
      <w:r>
        <w:rPr>
          <w:rFonts w:ascii="Times New Roman;sans-serif" w:hAnsi="Times New Roman;sans-serif"/>
          <w:b w:val="false"/>
          <w:color w:val="000000"/>
          <w:sz w:val="20"/>
        </w:rPr>
        <w:t>The COVID-19 pandemic has negatively impacted the global economy in recent years, including the businesses and operations of our POS partners and our own businesses. For example, the significant increase in COVID-19 cases resulted in many of our POS partners temporarily closing showrooms and/or reducing the hours and scope of operations of their showrooms, and also resulted in increases in employee absenteeism and declines in customer traffic for many of our POS partners, all of which unfavorably impacted Progressive Leasing's GMV. In addition, other pandemic-related factors unfavorably impacted many of our POS partners, including supply chain disruptions resulting in shortages of available products at certain POS partners, primarily in appliances, electronics and furniture categories. Those and other pandemic-related developments, may adversely impact Progressive Leasing's generation of new lease agreements, Vive's generation of new loans, and our results of operations, financial condition, cash flow and/or liquidity in future periods.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extent of any such adverse, pandemic-related impacts will depend on future developments, which are highly uncertain and cannot be predicted, including, for example, the emergence of more contagious and harmful variants of COVID-19, and localized outbreaks or additional waves of COVID-19 cases and the impact of any such outbreaks on our customers, POS partners, and employees.</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Highlights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significant financial highlights from the three months ended March 31, 2023:</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We reported revenues of $655.1 million, a decrease of 7.8% compared to the first quarter of 2022. The decrease in revenues was primarily due to a 15.4% decrease in consolidated GMV for the three months ended March 31, 2023, as compared to the same period in the prior year, due to tightened lease decisioning by Progressive Leasing in mid-2022, and decreased customer demand for many of the products offered by our POS partners. Revenues were also impacted by a smaller lease portfolio at the beginning of the quarter as compared to the first quarter of 2022, and a decline in the number of customers electing to exercise early lease buyouts when compared to the same period in the prior year. The decline in revenues was partially offset by improved customer payment activity in the first quarter of 2023, as compared to the first quarter of 2022.</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GMV decreased by $85.8 million for Progressive Leasing and $6.1 million for Vive in the first quarter of 2023, compared to the same period in the prior year. These decreases were due to tighter lease and loan decisioning, resulting in fewer lease and loan originations, and the rapid increase in the rate of inflation eroding customers' disposable incomes and reducing their demand for many of the goods sold by our POS partners. These negative impacts were partially offset by GMV from our other operations, which increased by $6.5 million primarily due to an increase in Four loan originations in the first quarter of 2023 compared to the first quarter of 2022. </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Earnings before income taxes increased to $67.6 million compared to $39.8 million in the same period in 2022. The increase was primarily driven by fewer customers electing early lease buyouts, improved customer payment activity, and lower operating costs resulting from recent cost cutting initiatives.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Key Operating Metrics</w:t>
      </w:r>
    </w:p>
    <w:p>
      <w:pPr>
        <w:pStyle w:val="TextBody"/>
        <w:spacing w:lineRule="auto" w:line="288" w:before="100" w:after="283"/>
        <w:rPr/>
      </w:pPr>
      <w:r>
        <w:rPr>
          <w:rFonts w:ascii="Times New Roman;sans-serif" w:hAnsi="Times New Roman;sans-serif"/>
          <w:b w:val="false"/>
          <w:i/>
          <w:color w:val="000000"/>
          <w:sz w:val="20"/>
        </w:rPr>
        <w:t>Gross Merchandise Volume</w:t>
      </w:r>
      <w:r>
        <w:rPr>
          <w:rFonts w:ascii="Times New Roman;sans-serif" w:hAnsi="Times New Roman;sans-serif"/>
          <w:b w:val="false"/>
          <w:color w:val="000000"/>
          <w:sz w:val="20"/>
        </w:rPr>
        <w:t xml:space="preserve">. We believe GMV is a key performance indicator of our Progressive Leasing and Vive segments, as it provides the total value of new leases and loans written into our portfolio over a specified time period. GMV does not represent revenues earned by the Company, but rather is a leading indicator we use in forecasting revenues the Company may earn in the short-term. Progressive Leasing's GMV is defined as the retail price of merchandise acquired by Progressive Leasing, which it then expects to lease to its customers. GMV for Vive and Other are defined as gross loan originations.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GMV for the Company for the periods presented:</w:t>
      </w:r>
    </w:p>
    <w:tbl>
      <w:tblPr>
        <w:tblW w:w="7600" w:type="dxa"/>
        <w:jc w:val="left"/>
        <w:tblInd w:w="0" w:type="dxa"/>
        <w:tblCellMar>
          <w:top w:w="28" w:type="dxa"/>
          <w:left w:w="28" w:type="dxa"/>
          <w:bottom w:w="28" w:type="dxa"/>
          <w:right w:w="28" w:type="dxa"/>
        </w:tblCellMar>
      </w:tblPr>
      <w:tblGrid>
        <w:gridCol w:w="836"/>
        <w:gridCol w:w="734"/>
        <w:gridCol w:w="739"/>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93"/>
        <w:gridCol w:w="293"/>
        <w:gridCol w:w="316"/>
      </w:tblGrid>
      <w:tr>
        <w:trPr/>
        <w:tc>
          <w:tcPr>
            <w:tcW w:w="836"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(Unaudited and 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GMV</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decrease in Progressive Leasing's and Vive's GMV was primarily due to our tighter lease and loan decisioning to address the unfavorable economic conditions that were present in 2022, resulting in fewer lease and loan approvals; the rapid increase in the rate of inflation, which eroded customers' disposable incomes and their demand for many of the goods sold by our POS partners. We believe these factors have unfavorably impacted the generation of new leases and loans. E-commerce channels generated 16.9% of Progressive Leasing's GMV in the first quarter of 2023 compared to 15.9% in the first quarter of 2022. The decrease in total GMV was also partially offset by an increase in GMV from our other operations, primarily due to an increase in Four loan originations from new and existing retail partners.</w:t>
      </w:r>
    </w:p>
    <w:p>
      <w:pPr>
        <w:pStyle w:val="TextBody"/>
        <w:spacing w:lineRule="auto" w:line="288" w:before="100" w:after="283"/>
        <w:rPr/>
      </w:pPr>
      <w:r>
        <w:rPr>
          <w:rFonts w:ascii="Times New Roman;sans-serif" w:hAnsi="Times New Roman;sans-serif"/>
          <w:b w:val="false"/>
          <w:i/>
          <w:color w:val="000000"/>
          <w:sz w:val="20"/>
        </w:rPr>
        <w:t>Active Customer Count.</w:t>
      </w:r>
      <w:r>
        <w:rPr>
          <w:color w:val="000000"/>
        </w:rPr>
        <w:t xml:space="preserve"> </w:t>
      </w:r>
      <w:r>
        <w:rPr>
          <w:rFonts w:ascii="Times New Roman;sans-serif" w:hAnsi="Times New Roman;sans-serif"/>
          <w:b w:val="false"/>
          <w:color w:val="000000"/>
          <w:sz w:val="20"/>
        </w:rPr>
        <w:t>Our active customer count represents the total number of customers that have an active lease agreement with Progressive Leasing, or an active loan with Vive or Four. The following table presents our consolidated active customer count, which includes an immaterial number of customers that have both an active lease agreement and loan agreement, for the Company for the periods presented:</w:t>
      </w:r>
    </w:p>
    <w:tbl>
      <w:tblPr>
        <w:tblW w:w="5017" w:type="dxa"/>
        <w:jc w:val="center"/>
        <w:tblInd w:w="0" w:type="dxa"/>
        <w:tblCellMar>
          <w:top w:w="28" w:type="dxa"/>
          <w:left w:w="28" w:type="dxa"/>
          <w:bottom w:w="28" w:type="dxa"/>
          <w:right w:w="28" w:type="dxa"/>
        </w:tblCellMar>
      </w:tblPr>
      <w:tblGrid>
        <w:gridCol w:w="912"/>
        <w:gridCol w:w="801"/>
        <w:gridCol w:w="806"/>
        <w:gridCol w:w="413"/>
        <w:gridCol w:w="413"/>
        <w:gridCol w:w="156"/>
        <w:gridCol w:w="109"/>
        <w:gridCol w:w="109"/>
        <w:gridCol w:w="109"/>
        <w:gridCol w:w="488"/>
        <w:gridCol w:w="488"/>
        <w:gridCol w:w="213"/>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March 31 (Unaudited)</w:t>
            </w:r>
          </w:p>
        </w:tc>
        <w:tc>
          <w:tcPr>
            <w:tcW w:w="9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Active Customer Count:</w:t>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974,000 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Active Customer Count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978,000 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1,079,000 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decrease in the number of Progressive Leasing customers was primarily due to a decrease in customer demand for the types of merchandise typically purchased through our lease-to-own solutions and the tightening of our lease decisioning in 2022 to address the unfavorable economic conditions that were driving higher customer payment delinquencies and uncollectible renewal payments during much of 2022. The number of Vive customers remained consistent compared to the first quarter of 2022. The increase in the number of customers in Other was primarily driven by continued growth in loan originations from our Four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Key Components of Earnings Before Income Taxes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this MD&amp;A section, we review our condensed consolidated results. For the three months ended March 31, 2023 and the comparable prior year period, some of the key revenue, cost and expense items that affected earnings before income taxes were as follows: </w:t>
      </w:r>
    </w:p>
    <w:p>
      <w:pPr>
        <w:pStyle w:val="TextBody"/>
        <w:spacing w:lineRule="auto" w:line="288" w:before="100" w:after="283"/>
        <w:rPr/>
      </w:pPr>
      <w:r>
        <w:rPr>
          <w:rFonts w:ascii="Times New Roman;sans-serif" w:hAnsi="Times New Roman;sans-serif"/>
          <w:b w:val="false"/>
          <w:i/>
          <w:color w:val="000000"/>
          <w:sz w:val="20"/>
        </w:rPr>
        <w:t>Revenues</w:t>
      </w:r>
      <w:r>
        <w:rPr>
          <w:rFonts w:ascii="Times New Roman;sans-serif" w:hAnsi="Times New Roman;sans-serif"/>
          <w:b w:val="false"/>
          <w:color w:val="000000"/>
          <w:sz w:val="20"/>
        </w:rPr>
        <w:t>. We separate our total revenues into two components: (i) lease revenues and fees and (ii) interest and fees on loans receivable. Lease revenues and fees include all revenues derived from lease agreements from our Progressive Leasing segment. Lease revenues are recorded net of a provision for uncollectible renewal payments. Interest and fees on loans receivable represents merchant fees, finance charges and annual and other fees earned on outstanding loans in our Vive segment and, to a lesser extent, from Four.</w:t>
      </w:r>
    </w:p>
    <w:p>
      <w:pPr>
        <w:pStyle w:val="TextBody"/>
        <w:spacing w:lineRule="auto" w:line="288" w:before="100" w:after="283"/>
        <w:rPr/>
      </w:pPr>
      <w:r>
        <w:rPr>
          <w:rFonts w:ascii="Times New Roman;sans-serif" w:hAnsi="Times New Roman;sans-serif"/>
          <w:b w:val="false"/>
          <w:i/>
          <w:color w:val="000000"/>
          <w:sz w:val="20"/>
        </w:rPr>
        <w:t>Depreciation of Lease Merchandise</w:t>
      </w:r>
      <w:r>
        <w:rPr>
          <w:rFonts w:ascii="Times New Roman;sans-serif" w:hAnsi="Times New Roman;sans-serif"/>
          <w:b w:val="false"/>
          <w:color w:val="000000"/>
          <w:sz w:val="20"/>
        </w:rPr>
        <w:t>. Depreciation of lease merchandise primarily reflects the expense associated with depreciating merchandise leased to customers by Progressive Leasing.</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100" w:after="283"/>
        <w:rPr/>
      </w:pPr>
      <w:r>
        <w:rPr>
          <w:rFonts w:ascii="Times New Roman;sans-serif" w:hAnsi="Times New Roman;sans-serif"/>
          <w:b w:val="false"/>
          <w:i/>
          <w:color w:val="000000"/>
          <w:sz w:val="20"/>
        </w:rPr>
        <w:t>Provision for Lease Merchandise Write-offs.</w:t>
      </w:r>
      <w:r>
        <w:rPr>
          <w:color w:val="000000"/>
        </w:rPr>
        <w:t xml:space="preserve"> </w:t>
      </w:r>
      <w:r>
        <w:rPr>
          <w:rFonts w:ascii="Times New Roman;sans-serif" w:hAnsi="Times New Roman;sans-serif"/>
          <w:b w:val="false"/>
          <w:color w:val="000000"/>
          <w:sz w:val="20"/>
        </w:rPr>
        <w:t>The provision for lease merchandise write-offs represents the estimated merchandise losses incurred but not yet identified by management and adjustments for changes in estimates for the allowance for lease merchandise write-offs.</w:t>
      </w:r>
    </w:p>
    <w:p>
      <w:pPr>
        <w:pStyle w:val="TextBody"/>
        <w:spacing w:lineRule="auto" w:line="288" w:before="100" w:after="283"/>
        <w:rPr/>
      </w:pPr>
      <w:r>
        <w:rPr>
          <w:rFonts w:ascii="Times New Roman;sans-serif" w:hAnsi="Times New Roman;sans-serif"/>
          <w:b w:val="false"/>
          <w:i/>
          <w:color w:val="000000"/>
          <w:sz w:val="20"/>
        </w:rPr>
        <w:t>Operating Expenses</w:t>
      </w:r>
      <w:r>
        <w:rPr>
          <w:rFonts w:ascii="Times New Roman;sans-serif" w:hAnsi="Times New Roman;sans-serif"/>
          <w:b w:val="false"/>
          <w:color w:val="000000"/>
          <w:sz w:val="20"/>
        </w:rPr>
        <w:t>. Operating expenses include personnel costs, stock-based compensation expense, occupancy costs, advertising, professional services expense, sales acquisition expense, computer software expense, bank service charges, the provision for loan losses, fixed asset depreciation expense, intangible asset amortization, and restructuring, among other expenses.</w:t>
      </w:r>
    </w:p>
    <w:p>
      <w:pPr>
        <w:pStyle w:val="TextBody"/>
        <w:spacing w:lineRule="auto" w:line="288" w:before="100" w:after="283"/>
        <w:rPr/>
      </w:pPr>
      <w:r>
        <w:rPr>
          <w:rFonts w:ascii="Times New Roman;sans-serif" w:hAnsi="Times New Roman;sans-serif"/>
          <w:b w:val="false"/>
          <w:i/>
          <w:color w:val="000000"/>
          <w:sz w:val="20"/>
        </w:rPr>
        <w:t>Interest Expense, Net.</w:t>
      </w:r>
      <w:r>
        <w:rPr>
          <w:color w:val="000000"/>
        </w:rPr>
        <w:t xml:space="preserve"> </w:t>
      </w:r>
      <w:r>
        <w:rPr>
          <w:rFonts w:ascii="Times New Roman;sans-serif" w:hAnsi="Times New Roman;sans-serif"/>
          <w:b w:val="false"/>
          <w:color w:val="000000"/>
          <w:sz w:val="20"/>
        </w:rPr>
        <w:t xml:space="preserve">Interest expense, net consists of interest incurred on the Company's Senior Notes and senior secured revolving credit facility (the "Revolving Facility"). Interest expense is presented net of interest income earned on the Company's deposits in cash and cash equivalents.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Results of Operations – Three months ended March 31, 2023 and 2022</w:t>
      </w:r>
    </w:p>
    <w:tbl>
      <w:tblPr>
        <w:tblW w:w="9520" w:type="dxa"/>
        <w:jc w:val="left"/>
        <w:tblInd w:w="0" w:type="dxa"/>
        <w:tblCellMar>
          <w:top w:w="28" w:type="dxa"/>
          <w:left w:w="28" w:type="dxa"/>
          <w:bottom w:w="28" w:type="dxa"/>
          <w:right w:w="28" w:type="dxa"/>
        </w:tblCellMar>
      </w:tblPr>
      <w:tblGrid>
        <w:gridCol w:w="1535"/>
        <w:gridCol w:w="1345"/>
        <w:gridCol w:w="1350"/>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91"/>
        <w:gridCol w:w="294"/>
        <w:gridCol w:w="316"/>
      </w:tblGrid>
      <w:tr>
        <w:trPr/>
        <w:tc>
          <w:tcPr>
            <w:tcW w:w="1535"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2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Revenues and Fees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Fees on Loans Receivable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 Merchandise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Lease Merchandise Write-Offs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PROFIT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BEFORE INCOME TAX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spacing w:lineRule="auto" w:line="288" w:before="100" w:after="283"/>
        <w:rPr/>
      </w:pPr>
      <w:r>
        <w:rPr>
          <w:rFonts w:ascii="Times New Roman;sans-serif" w:hAnsi="Times New Roman;sans-serif"/>
          <w:b w:val="false"/>
          <w:color w:val="000000"/>
          <w:sz w:val="20"/>
        </w:rPr>
        <w:t>Information about our revenues by source and reportable segment is as follows:</w:t>
      </w:r>
      <w:r>
        <w:rPr>
          <w:color w:val="000000"/>
        </w:rPr>
        <w:t> </w:t>
      </w:r>
    </w:p>
    <w:tbl>
      <w:tblPr>
        <w:tblW w:w="10205" w:type="dxa"/>
        <w:jc w:val="left"/>
        <w:tblInd w:w="0" w:type="dxa"/>
        <w:tblCellMar>
          <w:top w:w="28" w:type="dxa"/>
          <w:left w:w="28" w:type="dxa"/>
          <w:bottom w:w="28" w:type="dxa"/>
          <w:right w:w="28" w:type="dxa"/>
        </w:tblCellMar>
      </w:tblPr>
      <w:tblGrid>
        <w:gridCol w:w="576"/>
        <w:gridCol w:w="394"/>
        <w:gridCol w:w="395"/>
        <w:gridCol w:w="222"/>
        <w:gridCol w:w="869"/>
        <w:gridCol w:w="114"/>
        <w:gridCol w:w="211"/>
        <w:gridCol w:w="721"/>
        <w:gridCol w:w="109"/>
        <w:gridCol w:w="211"/>
        <w:gridCol w:w="466"/>
        <w:gridCol w:w="109"/>
        <w:gridCol w:w="211"/>
        <w:gridCol w:w="826"/>
        <w:gridCol w:w="109"/>
        <w:gridCol w:w="222"/>
        <w:gridCol w:w="869"/>
        <w:gridCol w:w="114"/>
        <w:gridCol w:w="211"/>
        <w:gridCol w:w="721"/>
        <w:gridCol w:w="109"/>
        <w:gridCol w:w="211"/>
        <w:gridCol w:w="466"/>
        <w:gridCol w:w="109"/>
        <w:gridCol w:w="211"/>
        <w:gridCol w:w="826"/>
        <w:gridCol w:w="109"/>
        <w:gridCol w:w="109"/>
        <w:gridCol w:w="109"/>
        <w:gridCol w:w="109"/>
        <w:gridCol w:w="157"/>
      </w:tblGrid>
      <w:tr>
        <w:trPr/>
        <w:tc>
          <w:tcPr>
            <w:tcW w:w="576"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8"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4178"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Progressive Leasing</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Vive</w:t>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Progressive Leasing</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Vive</w:t>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Revenues and Fees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637,082 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692,914 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Fees on Loans Receivable</w:t>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637,082 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692,914 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decrease in Progressive Leasing revenues was primarily due to a 15.4% decrease in consolidated GMV for the three months ended March 31, 2023, as compared to the same period in the prior year, due to tightened lease decisioning in mid-2022, and decreased customer demand for many of the products offered by our POS partners. Revenues were also impacted by a smaller lease portfolio at the beginning of the quarter as compared to the first quarter of 2022, and a decline in the number of customers electing to exercise early lease buyouts when compared to the same period in the prior year. The decline in revenues was partially offset by improved customer payment activity in the first quarter of 2023, as compared to the first quarter of 2022.Vive revenues remained relatively flat as compared to the first quarter of 2022 and the growth in Four revenues was primarily driven by strong GMV growth in prior periods.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Information about certain significant components of operating expenses for the first quarter of 2023 as compared to the first quarter of 2022 is as follows:</w:t>
      </w:r>
    </w:p>
    <w:tbl>
      <w:tblPr>
        <w:tblW w:w="9280" w:type="dxa"/>
        <w:jc w:val="left"/>
        <w:tblInd w:w="0" w:type="dxa"/>
        <w:tblCellMar>
          <w:top w:w="28" w:type="dxa"/>
          <w:left w:w="28" w:type="dxa"/>
          <w:bottom w:w="28" w:type="dxa"/>
          <w:right w:w="28" w:type="dxa"/>
        </w:tblCellMar>
      </w:tblPr>
      <w:tblGrid>
        <w:gridCol w:w="1484"/>
        <w:gridCol w:w="1304"/>
        <w:gridCol w:w="1306"/>
        <w:gridCol w:w="211"/>
        <w:gridCol w:w="826"/>
        <w:gridCol w:w="109"/>
        <w:gridCol w:w="109"/>
        <w:gridCol w:w="109"/>
        <w:gridCol w:w="109"/>
        <w:gridCol w:w="211"/>
        <w:gridCol w:w="826"/>
        <w:gridCol w:w="109"/>
        <w:gridCol w:w="109"/>
        <w:gridCol w:w="109"/>
        <w:gridCol w:w="109"/>
        <w:gridCol w:w="211"/>
        <w:gridCol w:w="691"/>
        <w:gridCol w:w="109"/>
        <w:gridCol w:w="109"/>
        <w:gridCol w:w="109"/>
        <w:gridCol w:w="109"/>
        <w:gridCol w:w="293"/>
        <w:gridCol w:w="293"/>
        <w:gridCol w:w="316"/>
      </w:tblGrid>
      <w:tr>
        <w:trPr/>
        <w:tc>
          <w:tcPr>
            <w:tcW w:w="1484"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0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Personnel Costs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Sales Acquisition Expense</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Computer Software Expense</w:t>
            </w:r>
            <w:r>
              <w:rPr>
                <w:rFonts w:ascii="Times New Roman;sans-serif" w:hAnsi="Times New Roman;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Service Charges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Sales, 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Sales, General and Administrative Expense</w:t>
            </w:r>
            <w:r>
              <w:rPr>
                <w:rFonts w:ascii="Times New Roman;sans-serif" w:hAnsi="Times New Roman;sans-serif"/>
                <w:b w:val="false"/>
                <w:color w:val="000000"/>
                <w:sz w:val="13"/>
              </w:rPr>
              <w:t>4</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nmf</w:t>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60" w:after="283"/>
        <w:rPr>
          <w:rFonts w:ascii="Times New Roman;sans-serif" w:hAnsi="Times New Roman;sans-serif"/>
          <w:b w:val="false"/>
          <w:color w:val="000000"/>
          <w:sz w:val="16"/>
        </w:rPr>
      </w:pPr>
      <w:r>
        <w:rPr>
          <w:rFonts w:ascii="Times New Roman;sans-serif" w:hAnsi="Times New Roman;sans-serif"/>
          <w:b w:val="false"/>
          <w:color w:val="000000"/>
          <w:sz w:val="16"/>
        </w:rPr>
        <w:t>nmf—Calculation is not meaningful</w:t>
      </w:r>
    </w:p>
    <w:p>
      <w:pPr>
        <w:pStyle w:val="TextBody"/>
        <w:spacing w:lineRule="auto" w:line="288" w:before="60" w:after="283"/>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Personnel costs excludes stock-based compensation expense, which is reported separately in the operating expense table.</w:t>
      </w:r>
    </w:p>
    <w:p>
      <w:pPr>
        <w:pStyle w:val="TextBody"/>
        <w:spacing w:lineRule="auto" w:line="288" w:before="60" w:after="283"/>
        <w:ind w:left="0" w:right="0" w:hanging="90"/>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Sales acquisition expense includes vendor incentives and rebates to POS partners, external sales commissions, amortization of initial direct costs and amounts paid to various POS partners to be their exclusive provider of lease-to-own solutions.</w:t>
      </w:r>
    </w:p>
    <w:p>
      <w:pPr>
        <w:pStyle w:val="TextBody"/>
        <w:spacing w:lineRule="auto" w:line="288" w:before="60" w:after="283"/>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Computer software expense consists primarily of software subscription fees, licensing fees and non-capitalizable software implementation costs.</w:t>
      </w:r>
    </w:p>
    <w:p>
      <w:pPr>
        <w:pStyle w:val="TextBody"/>
        <w:spacing w:lineRule="auto" w:line="288" w:before="60" w:after="283"/>
        <w:ind w:left="0" w:right="0" w:hanging="90"/>
        <w:rPr/>
      </w:pPr>
      <w:r>
        <w:rPr>
          <w:rFonts w:ascii="Times New Roman;sans-serif" w:hAnsi="Times New Roman;sans-serif"/>
          <w:b w:val="false"/>
          <w:color w:val="000000"/>
          <w:sz w:val="10"/>
        </w:rPr>
        <w:t xml:space="preserve">4 </w:t>
      </w:r>
      <w:r>
        <w:rPr>
          <w:rFonts w:ascii="Times New Roman;sans-serif" w:hAnsi="Times New Roman;sans-serif"/>
          <w:b w:val="false"/>
          <w:color w:val="000000"/>
          <w:sz w:val="16"/>
        </w:rPr>
        <w:t>Progressive Leasing's sales, general and administrative expense was $75.9 million and $85.9 million during the three months ended March 31, 2023 and 2022, respectively.</w:t>
      </w:r>
    </w:p>
    <w:p>
      <w:pPr>
        <w:pStyle w:val="TextBody"/>
        <w:spacing w:lineRule="auto" w:line="288" w:before="180" w:after="283"/>
        <w:rPr/>
      </w:pPr>
      <w:r>
        <w:rPr>
          <w:rFonts w:ascii="Times New Roman;sans-serif" w:hAnsi="Times New Roman;sans-serif"/>
          <w:b w:val="false"/>
          <w:color w:val="242424"/>
          <w:sz w:val="20"/>
        </w:rPr>
        <w:t xml:space="preserve">The decrease in personnel costs of $6.5 million was driven primarily by a decrease of $7.0 million at Progressive Leasing, attributable to its reduction in the number of employees during the second half of 2022 as part of its restructuring and cost cutting initiatives. Personnel costs attributable to Four and other strategic initiatives also decreased by $0.5 million compared to </w:t>
      </w:r>
      <w:r>
        <w:rPr>
          <w:rFonts w:ascii="Times New Roman;sans-serif" w:hAnsi="Times New Roman;sans-serif"/>
          <w:b w:val="false"/>
          <w:color w:val="000000"/>
          <w:sz w:val="20"/>
        </w:rPr>
        <w:t>the same period in 2022</w:t>
      </w:r>
      <w:r>
        <w:rPr>
          <w:rFonts w:ascii="Times New Roman;sans-serif" w:hAnsi="Times New Roman;sans-serif"/>
          <w:b w:val="false"/>
          <w:color w:val="242424"/>
          <w:sz w:val="20"/>
        </w:rPr>
        <w:t>. These decreases were partially offset by an increase of $0.9 million at Vive.</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Other Costs and Expenses</w:t>
      </w:r>
    </w:p>
    <w:p>
      <w:pPr>
        <w:pStyle w:val="TextBody"/>
        <w:spacing w:lineRule="auto" w:line="288" w:before="100" w:after="283"/>
        <w:rPr/>
      </w:pPr>
      <w:r>
        <w:rPr>
          <w:rFonts w:ascii="Times New Roman;sans-serif" w:hAnsi="Times New Roman;sans-serif"/>
          <w:b w:val="false"/>
          <w:i/>
          <w:color w:val="000000"/>
          <w:sz w:val="20"/>
        </w:rPr>
        <w:t>Depreciation of lease merchandise.</w:t>
      </w:r>
      <w:r>
        <w:rPr>
          <w:color w:val="000000"/>
        </w:rPr>
        <w:t xml:space="preserve"> </w:t>
      </w:r>
      <w:r>
        <w:rPr>
          <w:rFonts w:ascii="Times New Roman;sans-serif" w:hAnsi="Times New Roman;sans-serif"/>
          <w:b w:val="false"/>
          <w:color w:val="000000"/>
          <w:sz w:val="20"/>
        </w:rPr>
        <w:t>Depreciation of lease merchandise decreased by 12.4% during the three months ended March 31, 2023 compared to the same period in 2022. The decrease was primarily due to the decline in GMV resulting from Progressive Leasing's tightening of its decisioning in mid-2022. As a percentage of total lease revenues and fees, depreciation of lease merchandise decreased to 68.3% from 71.7% in the prior year quarter, primarily due to lower early buyouts in the three months ended March 31, 2023 as compared to the same period in 2022.</w:t>
      </w:r>
    </w:p>
    <w:p>
      <w:pPr>
        <w:pStyle w:val="TextBody"/>
        <w:spacing w:lineRule="auto" w:line="288" w:before="100" w:after="283"/>
        <w:rPr/>
      </w:pPr>
      <w:r>
        <w:rPr>
          <w:rFonts w:ascii="Times New Roman;sans-serif" w:hAnsi="Times New Roman;sans-serif"/>
          <w:b w:val="false"/>
          <w:i/>
          <w:color w:val="000000"/>
          <w:sz w:val="20"/>
        </w:rPr>
        <w:t>Provision for lease merchandise write-offs</w:t>
      </w:r>
      <w:r>
        <w:rPr>
          <w:rFonts w:ascii="Times New Roman;sans-serif" w:hAnsi="Times New Roman;sans-serif"/>
          <w:b w:val="false"/>
          <w:color w:val="000000"/>
          <w:sz w:val="20"/>
        </w:rPr>
        <w:t>. The provision for lease merchandise write-offs decreased $12.0 million due to a decrease in the size of Progressive Leasing's lease portfolio during the three months ended March 31, 2023 compared to the same period in 2022. The provision for lease merchandise write-offs also decreased due to the improved customer payment activity and lower write-offs following Progressive Leasing's tightening of its decisioning in mid-2022, as compared to the higher customer delinquencies and write-offs experienced in the first quarter of 2022. Given the significant economic uncertainty resulting from the rate of the increase in inflation, rising interest rates, the ongoing impacts of the COVID-19 pandemic, and the potential effects of such developments on Progressive Leasing's POS partners, customers, and business going forward, a high level of estimation was involved in determining the allowance as of March 31, 2023. Actual lease merchandise write-offs could differ materially from the allowance for those write-offs.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provision for lease merchandise write-offs as a percentage of lease revenues decreased to 6.0% during the three months ended March 31, 2023 from 7.3% in the same period in 2022. The decrease in the provision was a result of improved customer payment activity and lower write-offs due to the Company tightening its lease decisioning in mid-2022.</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Earnings Before Income Tax Expense</w:t>
      </w:r>
    </w:p>
    <w:p>
      <w:pPr>
        <w:pStyle w:val="TextBody"/>
        <w:spacing w:lineRule="auto" w:line="288" w:before="100" w:after="283"/>
        <w:rPr/>
      </w:pPr>
      <w:r>
        <w:rPr>
          <w:rFonts w:ascii="Times New Roman;sans-serif" w:hAnsi="Times New Roman;sans-serif"/>
          <w:b w:val="false"/>
          <w:color w:val="000000"/>
          <w:sz w:val="20"/>
        </w:rPr>
        <w:t>Information about our earnings before income tax expense by reportable segment is as follows:</w:t>
      </w:r>
      <w:r>
        <w:rPr>
          <w:color w:val="000000"/>
        </w:rPr>
        <w:t> </w:t>
      </w:r>
    </w:p>
    <w:tbl>
      <w:tblPr>
        <w:tblW w:w="9294" w:type="dxa"/>
        <w:jc w:val="center"/>
        <w:tblInd w:w="0" w:type="dxa"/>
        <w:tblCellMar>
          <w:top w:w="28" w:type="dxa"/>
          <w:left w:w="28" w:type="dxa"/>
          <w:bottom w:w="28" w:type="dxa"/>
          <w:right w:w="28" w:type="dxa"/>
        </w:tblCellMar>
      </w:tblPr>
      <w:tblGrid>
        <w:gridCol w:w="1555"/>
        <w:gridCol w:w="1365"/>
        <w:gridCol w:w="136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91"/>
        <w:gridCol w:w="294"/>
        <w:gridCol w:w="316"/>
      </w:tblGrid>
      <w:tr>
        <w:trPr/>
        <w:tc>
          <w:tcPr>
            <w:tcW w:w="1555"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2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BEFORE INCOME TAX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Earnings Before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loss before income tax expense within "Other" primarily relates to our Four operations. Factors impacting the change in earnings before income taxes are discussed above.</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 xml:space="preserve">Income Tax Expense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Income tax expense increased to $19.6 million for the three months ended March 31, 2023 compared to $12.7 million in the prior year comparable period due to higher earnings before income taxes. The effective income tax rate for the three months ended March 31, 2023 was 28.9% compared to 31.9% for the same period in 2022. The decrease in the effective tax rate was primarily driven by favorable changes in discrete tax expense related to stock-based compensation and uncertain tax position liabilities.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Overview of Financial Position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 changes in the condensed consolidated balance sheet from December 31, 2022 to March 31, 2023 include: </w:t>
      </w:r>
    </w:p>
    <w:p>
      <w:pPr>
        <w:pStyle w:val="TextBody"/>
        <w:spacing w:lineRule="auto" w:line="288" w:before="100" w:after="283"/>
        <w:ind w:left="0" w:right="0" w:hanging="360"/>
        <w:rPr/>
      </w:pPr>
      <w:r>
        <w:rPr>
          <w:color w:val="242424"/>
        </w:rPr>
        <w:t>•</w:t>
      </w:r>
      <w:r>
        <w:rPr>
          <w:rFonts w:ascii="Times New Roman;sans-serif" w:hAnsi="Times New Roman;sans-serif"/>
          <w:b w:val="false"/>
          <w:color w:val="000000"/>
          <w:sz w:val="20"/>
        </w:rPr>
        <w:t xml:space="preserve">Cash and cash equivalents increased $118.0 million to $249.8 million during the three months ended March 31, 2023. For additional information, refer to the "Liquidity and Capital Resources" section below. </w:t>
      </w:r>
    </w:p>
    <w:p>
      <w:pPr>
        <w:pStyle w:val="TextBody"/>
        <w:spacing w:lineRule="auto" w:line="288" w:before="100" w:after="283"/>
        <w:ind w:left="0" w:right="0" w:hanging="360"/>
        <w:rPr/>
      </w:pPr>
      <w:r>
        <w:rPr>
          <w:color w:val="242424"/>
        </w:rPr>
        <w:t>•</w:t>
      </w:r>
      <w:r>
        <w:rPr>
          <w:rFonts w:ascii="Times New Roman;sans-serif" w:hAnsi="Times New Roman;sans-serif"/>
          <w:b w:val="false"/>
          <w:color w:val="000000"/>
          <w:sz w:val="20"/>
        </w:rPr>
        <w:t>Lease merchandise, net of accumulated depreciation and allowances, decreased $76.4 million due primarily to a 22.6% decrease in Progressive Leasing's GMV for the first quarter of 2023 as compared to the fourth quarter of 2022.</w:t>
      </w:r>
    </w:p>
    <w:p>
      <w:pPr>
        <w:pStyle w:val="TextBody"/>
        <w:spacing w:lineRule="auto" w:line="288" w:before="100" w:after="283"/>
        <w:ind w:left="0" w:right="0" w:hanging="360"/>
        <w:rPr/>
      </w:pPr>
      <w:r>
        <w:rPr>
          <w:color w:val="242424"/>
        </w:rPr>
        <w:t>•</w:t>
      </w:r>
      <w:r>
        <w:rPr>
          <w:rFonts w:ascii="Times New Roman;sans-serif" w:hAnsi="Times New Roman;sans-serif"/>
          <w:b w:val="false"/>
          <w:color w:val="000000"/>
          <w:sz w:val="20"/>
        </w:rPr>
        <w:t>Accounts payable and accrued expenses increased $17.4 million primarily due to a $21.5 million increase to income taxes payable as compared to the fourth quarter of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expect that our primary capital requirements will consist of:</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Reinvesting in our business, including buying merchandise for the operations of Progressive Leasing. Because we believe Progressive Leasing will continue to grow over the long-term, we expect that the need for additional lease merchandise will remain a major capital requirement; </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Making merger and acquisition investment(s) to further broaden our product offerings; and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Returning excess cash to shareholders through periodically repurchasing stock.</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Other capital requirements include (i) expenditures related to software development; (ii) expenditures related to our corporate operating activities; (iii) personnel expenditures; (iv) income tax payments; (v) funding of loans receivable for Vive; and (vi) servicing our outstanding debt obligation.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capital requirements have been financed through:</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cash flows from operations;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private debt offerings;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bank debt; and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stock offerings.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$249.8 million of cash, $350.0 million of availability under the Revolving Facility, and $600.0 million of indebtedness.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Cash Provided by Operating Activities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was $157.4 million and $98.3 million during the three months ended March 31, 2023 and 2022, respectively. The $59.1 million increase in operating cash flows was primarily driven by the $20.9 million increase in net earnings and a $80.8 million decrease in purchases of lease merchandise compared to the same period in 2022. Changes in certain working capital accounts also contributed to operating cash inflows. Other changes in cash provided by operating activities are discussed above in our discussion of results for the three months ended March 31, 2023.</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 xml:space="preserve">Cash Used in Investing Activities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was $0.6 million and $5.6 million during the three months ended March 31, 2023 and 2022, respectively. The $5.0 million decrease in investing cash outflows was primarily the result of a $5.1 million increase in proceeds from loans receivable, while the corresponding increase in cash outflows for investments in loans receivable was $0.7 million.</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 xml:space="preserve">Cash Used in Financing Activities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was $38.9 million during the three months ended March 31, 2023 compared to $78.9 million during the same period in 2022. Cash used in financing activities in the three months ended March 31, 2023 was primarily for the Company's repurchase of $36.5 million of its common stock, compared to $78.1 million of share repurchases in the same period in the prior year.</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Share Repurchases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purchase our stock in the market from time to time as authorized by our Board of Directors. On November 3, 2021, the Company announced that its Board of Directors had authorized a new $1 billion share repurchase program that replaced the previous $300 million repurchase program. The Company repurchased 1,458,649 shares for $36.5 million during the three months ended March 31, 2023. That amount does not include any excise tax that may be assessed on those repurchases. As of March 31, 2023, we had the authority to purchase additional shares up to our remaining authorization limit of $300.8 million.</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Debt Financing</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On November 24, 2020, the Company entered into a credit agreement with a consortium of lenders providing for a $350.0 million senior revolving credit facility, under which revolving borrowings became available on the date of the completion of the separation and distribution transaction pursuant to which our former Aaron's Business segment was spun-off into a separate publicly-traded company, and under which all borrowings and commitments will mature or terminate on November 24, 2025.</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Company had no outstanding balance and $350.0 million remaining available for borrowings on the Revolving Facility. The Revolving Facility includes an uncommitted incremental facility increase option ("Incremental Facilities") which, subject to certain terms and conditions, permits the Company at any time prior to the maturity date to request an increase in extensions of credit available thereunder by an aggregate additional principal amount of up to $300.0 million.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Revolving Facility contains certain financial covenants, which include requirements that the Company maintain ratios of (i) total net debt to EBITDA of no more than 2.50:1.00 and (ii) consolidated interest coverage of no less than 3.00:1.00. The Company will be in default under the Revolving Facility if it fails to comply with these covenants, and all borrowings outstanding may become due immediately. Additionally, under the Revolving Facility, if the total net debt to EBITDA, as defined by the Revolving Facility, exceeds 1.25, the revolver becomes fully secured for the remaining duration of the Revolving Facility term. As of June 30, 2022, the Company exceeded the 1.25 total net debt to EBITDA ratio and the Revolving Facility became fully secured. At March 31, 2023, we were in compliance with the financial covenants set forth in the Revolving Facility and believe that we will continue to be in compliance in the future.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26, 2021, the Company entered into an indenture in connection with its offering of $600 million aggregate principal amount of its senior unsecured notes due 2029 (the "Senior Notes"). The Senior Notes were issued at 100.0% of their par value with a stated fixed annual interest rate of 6.00%. Interest accrues on the outstanding balance and is payable semi-annually. The Senior Notes are general unsecured obligations of the Company and are guaranteed by certain of the Company's existing and future domestic subsidiaries.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discussed above contains various other covenants and obligations to which the Company and its subsidiaries are subject while the Senior Notes are outstanding. The covenants in the indenture may limit the extent to which, or the ability of the Company and its subsidiaries to, among other things: (i) incur additional debt and guarantee debt; (ii) pay dividends or make other distributions or repurchase or redeem capital stock; (iii) prepay, redeem or repurchase certain debt; (iv) issue certain preferred stock or similar equity securities; (v) make loans and investments; (vi) sell assets; (vii) incur liens; (viii) enter into transactions with affiliates; (ix) enter into agreements restricting the ability of the Company’s subsidiaries to pay dividends; and (x) consolidate, merge or sell all or substantially all of the Company’s assets. The indenture also contains customary events of default for transactions of this type and amount. We were in compliance with these covenants at March 31, 2023 and believe that we will continue to be in compliance in the future.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Commitments</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we made net tax payments of $2.5 million. Within the next nine months, we anticipate making estimated tax payments of $73.7 million for United States federal income taxes and state income taxes. </w:t>
      </w:r>
    </w:p>
    <w:p>
      <w:pPr>
        <w:pStyle w:val="TextBody"/>
        <w:spacing w:lineRule="auto" w:line="288" w:before="100" w:after="283"/>
        <w:rPr/>
      </w:pPr>
      <w:r>
        <w:rPr>
          <w:rFonts w:ascii="Times New Roman;sans-serif" w:hAnsi="Times New Roman;sans-serif"/>
          <w:b w:val="false"/>
          <w:color w:val="000000"/>
          <w:sz w:val="20"/>
        </w:rPr>
        <w:t>Deferred income tax liabilities as of March 31, 2023 were</w:t>
      </w:r>
      <w:r>
        <w:rPr>
          <w:color w:val="EE2724"/>
        </w:rPr>
        <w:t xml:space="preserve"> </w:t>
      </w:r>
      <w:r>
        <w:rPr>
          <w:rFonts w:ascii="Times New Roman;sans-serif" w:hAnsi="Times New Roman;sans-serif"/>
          <w:b w:val="false"/>
          <w:color w:val="000000"/>
          <w:sz w:val="20"/>
        </w:rPr>
        <w:t>$126.9 million</w:t>
      </w:r>
      <w:r>
        <w:rPr>
          <w:rFonts w:ascii="Times New Roman;sans-serif" w:hAnsi="Times New Roman;sans-serif"/>
          <w:b w:val="false"/>
          <w:color w:val="EE2724"/>
          <w:sz w:val="20"/>
        </w:rPr>
        <w:t xml:space="preserve">. </w:t>
      </w:r>
      <w:r>
        <w:rPr>
          <w:rFonts w:ascii="Times New Roman;sans-serif" w:hAnsi="Times New Roman;sans-serif"/>
          <w:b w:val="false"/>
          <w:color w:val="000000"/>
          <w:sz w:val="20"/>
        </w:rPr>
        <w:t>Deferred income tax liabilities are calculated based on temporary differences between the tax basis of assets and liabilities and their respective book basis, which will result in taxable amounts in future years when the liabilities are settled at their reported financial statement amounts. The results of these calculations do not have a direct connection with the amount of cash taxes to be paid in any future periods.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management and information technology space for corporate functions as well as call center space and storage space for our hub facilities under operating leases expiring at various times through 2027. Our corporate and call center leases contain renewal options for additional periods ranging from three to five years. We also lease transportation vehicles under operating leases which generally expire during the next three years. We expect that most leases will be renewed or replaced by other leases in the normal course of business. </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Contractual Obligations and Commitments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Future interest payments on the Company's variable-rate debt are based on a rate per annum equal to, at our option, (i) the London Interbank Overnight Rate ("LIBOR") plus a margin within the range of 1.5% to 2.5% for revolving loans, based on total leverage, or (ii) the administrative agent's base rate plus a margin ranging from 0.5% to 1.5%, as specified in the agreement. Future interest payments related to our Revolving Facility are based on the borrowings outstanding at that time. Future interest payments may be different depending on future borrowing activity and interest rates. The Company had no outstanding borrowings under the Revolving Facility as of March 31, 2023.</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On November 26, 2021, the Company issued $600 million aggregate principal amount of Senior Notes that bear a fixed annual interest rate of 6.00%. Interest accrues on the outstanding balance and is payable semi-annually. The Senior Notes will mature on November 15, 2029.</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no long-term commitments to purchase merchandise nor does it have significant purchase agreements that specify minimum quantities or set prices that exceed our expected requirements for three months.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Unfunded Lending Commitments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through its Vive business, had unconditionally cancellable unfunded lending commitments totaling approximately $521.9 million and $513.7 million as of March 31, 2023 and December 31, 2022,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represented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Refer to the 2022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pPr>
      <w:r>
        <w:rPr>
          <w:rFonts w:ascii="Times New Roman;sans-serif" w:hAnsi="Times New Roman;sans-serif"/>
          <w:b/>
          <w:color w:val="000000"/>
          <w:sz w:val="20"/>
        </w:rPr>
        <w:t>Recent Accounting Pronouncements</w:t>
      </w:r>
      <w:r>
        <w:rPr>
          <w:color w:val="000000"/>
        </w:rPr>
        <w:t xml:space="preserve">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1 to the condensed consolidated financial statements for a discussion of recently issued accounting pronouncements, including pronouncements that were adopted in the current year.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had no outstanding borrowings under our Revolving Facility. Borrowings under the Revolving Facility are indexed to the LIBOR or the prime rate, which exposes us to the risk of increased interest costs if interest rates rise. Based on the fact that the Company had no variable-rate debt outstanding as of March 31, 2023, a hypothetical 1.0% increase or decrease in interest rates would not affect interest expense.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do not use any significant market risk sensitive instruments to hedge commodity, foreign currency or other risks, and hold no market risk sensitive instruments for trading or speculative purposes.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280" w:after="283"/>
        <w:ind w:left="0" w:right="0" w:hanging="810"/>
        <w:rPr>
          <w:rFonts w:ascii="Times New Roman;sans-serif" w:hAnsi="Times New Roman;sans-serif"/>
          <w:b/>
          <w:color w:val="000000"/>
          <w:sz w:val="20"/>
        </w:rPr>
      </w:pPr>
      <w:r>
        <w:rPr>
          <w:rFonts w:ascii="Times New Roman;sans-serif" w:hAnsi="Times New Roman;sans-serif"/>
          <w:b/>
          <w:color w:val="000000"/>
          <w:sz w:val="20"/>
        </w:rPr>
        <w:t>ITEM 4.CONTROLS AND PROCEDURES</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An evaluation of the Company’s disclosure controls and procedures, as defined in Rule 13a-15(e) under the Securities Exchange Act of 1934, as amended, was carried out by management, with the participation of the Chief Executive Officer ("CEO") and Chief Financial Officer ("CFO"), as of the end of the period covered by this Quarterly Report on Form 10-Q.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This evaluation is performed to determine if our disclosure controls and procedures are effective to provide reasonable assurance that information required to be disclosed by the Company in the reports that it files or submits under the Securities Exchange Act of 1934, as amended, is accumulated and communicated to management, including our CEO and CFO, as appropriate, to allow timely decisions regarding required disclosures and are effective to provide reasonable assurance that such information is recorded, processed, summarized and reported within the time periods specified by the SEC’s rules and forms. No system of controls, no matter how well designed and operated, can provide absolute assurance that the objectives of the system of controls are met, and no evaluation of controls can provide absolute assurance that the system of controls has operated effectively in all cases. Our disclosure controls and procedures, however, are designed to provide reasonable assurance that the objectives of disclosure controls and procedures are met.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Based on management’s evaluation, the CEO and CFO concluded that the Company’s disclosure controls and procedures were effective as of the date of the evaluation to provide reasonable assurance that the objectives of disclosure controls and procedures are met.</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over financial reporting, as defined in Rule 13a-15(f) under the Securities Exchange Act of 1934, during the three months ended March 31, 2023 that have materially affected, or are reasonably likely to materially affect, the Company’s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ind w:left="0" w:right="0" w:hanging="810"/>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are party to various legal proceedings arising in the ordinary course of business. While any proceeding contains an element of uncertainty, we do not currently believe that any of the outstanding legal proceedings to which we are a party will have a material adverse impact on our business, financial position or results of operations. However, an adverse resolution of a number of these items may have a material adverse impact on our business, financial position or results of operations. For further information, see Note 4 in the accompanying condensed consolidated financial statements under the heading "Legal and Regulatory Proceedings," which discussion is incorporated by reference in response to this Item 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ind w:left="0" w:right="0" w:hanging="990"/>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updates to its risk factors disclosure from that previously reported in the 2022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ind w:left="0" w:right="0" w:hanging="810"/>
        <w:rPr>
          <w:rFonts w:ascii="Times New Roman;sans-serif" w:hAnsi="Times New Roman;sans-serif"/>
          <w:b/>
          <w:color w:val="000000"/>
          <w:sz w:val="20"/>
        </w:rPr>
      </w:pPr>
      <w:r>
        <w:rPr>
          <w:rFonts w:ascii="Times New Roman;sans-serif" w:hAnsi="Times New Roman;sans-serif"/>
          <w:b/>
          <w:color w:val="000000"/>
          <w:sz w:val="20"/>
        </w:rPr>
        <w:t>ITEM 2.UNREGISTERED SALES OF EQUITY SECURITIES AND USE OF PROCEEDS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share repurchase activity for the three months ended March 31, 2023:</w:t>
      </w:r>
    </w:p>
    <w:tbl>
      <w:tblPr>
        <w:tblW w:w="10205" w:type="dxa"/>
        <w:jc w:val="center"/>
        <w:tblInd w:w="0" w:type="dxa"/>
        <w:tblCellMar>
          <w:top w:w="28" w:type="dxa"/>
          <w:left w:w="28" w:type="dxa"/>
          <w:bottom w:w="28" w:type="dxa"/>
          <w:right w:w="28" w:type="dxa"/>
        </w:tblCellMar>
      </w:tblPr>
      <w:tblGrid>
        <w:gridCol w:w="629"/>
        <w:gridCol w:w="506"/>
        <w:gridCol w:w="514"/>
        <w:gridCol w:w="743"/>
        <w:gridCol w:w="451"/>
        <w:gridCol w:w="453"/>
        <w:gridCol w:w="336"/>
        <w:gridCol w:w="648"/>
        <w:gridCol w:w="173"/>
        <w:gridCol w:w="1072"/>
        <w:gridCol w:w="809"/>
        <w:gridCol w:w="811"/>
        <w:gridCol w:w="415"/>
        <w:gridCol w:w="2335"/>
        <w:gridCol w:w="310"/>
      </w:tblGrid>
      <w:tr>
        <w:trPr/>
        <w:tc>
          <w:tcPr>
            <w:tcW w:w="629"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2335"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16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11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26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Maximum Dollar Value of Shares that May Yet Be Purchased Under the Plans or Programs </w:t>
            </w:r>
            <w:r>
              <w:rPr>
                <w:rFonts w:ascii="Times New Roman;sans-serif" w:hAnsi="Times New Roman;sans-serif"/>
                <w:b/>
                <w:color w:val="000000"/>
                <w:sz w:val="10"/>
              </w:rPr>
              <w:t>1</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through January 31, 2023</w:t>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8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337,276,089 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through February 28, 2023</w:t>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337,276,089 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through March 31, 2023</w:t>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1,458,649 </w:t>
            </w:r>
          </w:p>
        </w:tc>
        <w:tc>
          <w:tcPr>
            <w:tcW w:w="4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1,458,649 </w:t>
            </w:r>
          </w:p>
        </w:tc>
        <w:tc>
          <w:tcPr>
            <w:tcW w:w="8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300,804,315 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9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1,458,649 </w:t>
            </w:r>
          </w:p>
        </w:tc>
        <w:tc>
          <w:tcPr>
            <w:tcW w:w="4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1,458,649 </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060"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90"/>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Share repurchases are conducted under authorizations made from time to time by the Company’s Board of Directors. The authorization effective November 3, 2021, provided the Company with the ability to repurchase shares up to a maximum amount of $1 billion. Subject to the terms of the Board's authorization and applicable law, repurchases may be made at such times and in such amounts as the Company deems appropriate. Repurchases may be discontinued at any time.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ind w:left="0" w:right="0" w:hanging="810"/>
        <w:rPr>
          <w:rFonts w:ascii="Times New Roman;sans-serif" w:hAnsi="Times New Roman;sans-serif"/>
          <w:b/>
          <w:color w:val="000000"/>
          <w:sz w:val="20"/>
        </w:rPr>
      </w:pPr>
      <w:r>
        <w:rPr>
          <w:rFonts w:ascii="Times New Roman;sans-serif" w:hAnsi="Times New Roman;sans-serif"/>
          <w:b/>
          <w:color w:val="000000"/>
          <w:sz w:val="20"/>
        </w:rPr>
        <w:t>ITEM 3.DEFAULTS UPON SENIOR SECURITIES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ind w:left="0" w:right="0" w:hanging="810"/>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ind w:left="0" w:right="0" w:hanging="810"/>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ITEM 6.</w:t>
      </w:r>
      <w:r>
        <w:rPr>
          <w:rFonts w:ascii="Times New Roman;sans-serif" w:hAnsi="Times New Roman;sans-serif"/>
          <w:b/>
          <w:color w:val="000000"/>
          <w:sz w:val="20"/>
        </w:rPr>
        <w:t>EXHIBITS</w:t>
      </w:r>
    </w:p>
    <w:tbl>
      <w:tblPr>
        <w:tblW w:w="10205" w:type="dxa"/>
        <w:jc w:val="left"/>
        <w:tblInd w:w="0" w:type="dxa"/>
        <w:tblCellMar>
          <w:top w:w="28" w:type="dxa"/>
          <w:left w:w="28" w:type="dxa"/>
          <w:bottom w:w="28" w:type="dxa"/>
          <w:right w:w="28" w:type="dxa"/>
        </w:tblCellMar>
      </w:tblPr>
      <w:tblGrid>
        <w:gridCol w:w="307"/>
        <w:gridCol w:w="269"/>
        <w:gridCol w:w="270"/>
        <w:gridCol w:w="109"/>
        <w:gridCol w:w="109"/>
        <w:gridCol w:w="109"/>
        <w:gridCol w:w="2680"/>
        <w:gridCol w:w="2628"/>
        <w:gridCol w:w="3724"/>
      </w:tblGrid>
      <w:tr>
        <w:trPr/>
        <w:tc>
          <w:tcPr>
            <w:tcW w:w="30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0" w:type="dxa"/>
            <w:tcBorders/>
            <w:shd w:fill="auto" w:val="clear"/>
            <w:vAlign w:val="center"/>
          </w:tcPr>
          <w:p>
            <w:pPr>
              <w:pStyle w:val="TableContents"/>
              <w:spacing w:before="0" w:after="283"/>
              <w:rPr>
                <w:sz w:val="4"/>
                <w:szCs w:val="4"/>
              </w:rPr>
            </w:pPr>
            <w:r>
              <w:rPr>
                <w:sz w:val="4"/>
                <w:szCs w:val="4"/>
              </w:rPr>
            </w:r>
          </w:p>
        </w:tc>
        <w:tc>
          <w:tcPr>
            <w:tcW w:w="2628" w:type="dxa"/>
            <w:tcBorders/>
            <w:shd w:fill="auto" w:val="clear"/>
            <w:vAlign w:val="center"/>
          </w:tcPr>
          <w:p>
            <w:pPr>
              <w:pStyle w:val="TableContents"/>
              <w:spacing w:before="0" w:after="283"/>
              <w:rPr>
                <w:sz w:val="4"/>
                <w:szCs w:val="4"/>
              </w:rPr>
            </w:pPr>
            <w:r>
              <w:rPr>
                <w:sz w:val="4"/>
                <w:szCs w:val="4"/>
              </w:rPr>
            </w:r>
          </w:p>
        </w:tc>
        <w:tc>
          <w:tcPr>
            <w:tcW w:w="3724" w:type="dxa"/>
            <w:tcBorders/>
            <w:shd w:fill="auto" w:val="clear"/>
            <w:vAlign w:val="center"/>
          </w:tcPr>
          <w:p>
            <w:pPr>
              <w:pStyle w:val="TableContents"/>
              <w:spacing w:before="0" w:after="283"/>
              <w:rPr>
                <w:sz w:val="4"/>
                <w:szCs w:val="4"/>
              </w:rPr>
            </w:pPr>
            <w:r>
              <w:rPr>
                <w:sz w:val="4"/>
                <w:szCs w:val="4"/>
              </w:rPr>
            </w:r>
          </w:p>
        </w:tc>
      </w:tr>
      <w:tr>
        <w:trPr/>
        <w:tc>
          <w:tcPr>
            <w:tcW w:w="8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r>
      <w:tr>
        <w:trPr/>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2" w:type="dxa"/>
            <w:gridSpan w:val="3"/>
            <w:tcBorders/>
            <w:shd w:fill="auto" w:val="clear"/>
            <w:vAlign w:val="center"/>
          </w:tcPr>
          <w:p>
            <w:pPr>
              <w:pStyle w:val="TableContents"/>
              <w:spacing w:before="0" w:after="283"/>
              <w:rPr>
                <w:sz w:val="4"/>
                <w:szCs w:val="4"/>
              </w:rPr>
            </w:pPr>
            <w:r>
              <w:rPr>
                <w:sz w:val="4"/>
                <w:szCs w:val="4"/>
              </w:rPr>
            </w:r>
          </w:p>
        </w:tc>
      </w:tr>
      <w:tr>
        <w:trPr/>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2" w:type="dxa"/>
            <w:gridSpan w:val="3"/>
            <w:tcBorders/>
            <w:shd w:fill="auto" w:val="clear"/>
            <w:vAlign w:val="center"/>
          </w:tcPr>
          <w:p>
            <w:pPr>
              <w:pStyle w:val="TableContents"/>
              <w:spacing w:before="0" w:after="283"/>
              <w:rPr>
                <w:sz w:val="4"/>
                <w:szCs w:val="4"/>
              </w:rPr>
            </w:pPr>
            <w:r>
              <w:rPr>
                <w:sz w:val="4"/>
                <w:szCs w:val="4"/>
              </w:rPr>
            </w:r>
          </w:p>
        </w:tc>
      </w:tr>
      <w:tr>
        <w:trPr/>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q1exhibit311.htm">
              <w:r>
                <w:rPr>
                  <w:rStyle w:val="InternetLink"/>
                  <w:rFonts w:ascii="Times New Roman;sans-serif" w:hAnsi="Times New Roman;sans-serif"/>
                  <w:b w:val="false"/>
                  <w:color w:val="0000FF"/>
                  <w:sz w:val="20"/>
                  <w:u w:val="single"/>
                </w:rPr>
                <w:t>Certification of Chief Executive Officer pursuant to Rule 13a-14(a) and Rule 15d-14(a) of the Securities Exchange Act, as amended.</w:t>
              </w:r>
            </w:hyperlink>
          </w:p>
        </w:tc>
      </w:tr>
      <w:tr>
        <w:trPr/>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q1exhibit312.htm">
              <w:r>
                <w:rPr>
                  <w:rStyle w:val="InternetLink"/>
                  <w:rFonts w:ascii="Times New Roman;sans-serif" w:hAnsi="Times New Roman;sans-serif"/>
                  <w:b w:val="false"/>
                  <w:color w:val="0000FF"/>
                  <w:sz w:val="20"/>
                  <w:u w:val="single"/>
                </w:rPr>
                <w:t>Certification of Chief Financial Officer pursuant to Rule 13a-14(a) and Rule 15d-14(a) of the Securities Exchange Act, as amended.</w:t>
              </w:r>
            </w:hyperlink>
          </w:p>
        </w:tc>
      </w:tr>
      <w:tr>
        <w:trPr/>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q1exhibit321.htm">
              <w:r>
                <w:rPr>
                  <w:rStyle w:val="InternetLink"/>
                  <w:rFonts w:ascii="Times New Roman;sans-serif" w:hAnsi="Times New Roman;sans-serif"/>
                  <w:b w:val="false"/>
                  <w:color w:val="0000FF"/>
                  <w:sz w:val="20"/>
                  <w:u w:val="single"/>
                </w:rPr>
                <w:t>Certification of Chief Executive Officer pursuant to 18 U.S.C. 1350, as adopted pursuant to Section 906 of the Sarbanes-Oxley Act of 2002.</w:t>
              </w:r>
            </w:hyperlink>
          </w:p>
        </w:tc>
      </w:tr>
      <w:tr>
        <w:trPr/>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q1exhibit322.htm">
              <w:r>
                <w:rPr>
                  <w:rStyle w:val="InternetLink"/>
                  <w:rFonts w:ascii="Times New Roman;sans-serif" w:hAnsi="Times New Roman;sans-serif"/>
                  <w:b w:val="false"/>
                  <w:color w:val="0000FF"/>
                  <w:sz w:val="20"/>
                  <w:u w:val="single"/>
                </w:rPr>
                <w:t>Certification of Chief Financial Officer pursuant to 18 U.S.C. 1350, as adopted pursuant to Section 906 of the Sarbanes-Oxley Act of 2002.</w:t>
              </w:r>
            </w:hyperlink>
          </w:p>
        </w:tc>
      </w:tr>
      <w:tr>
        <w:trPr/>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Labels Linkbase Document</w:t>
            </w:r>
          </w:p>
        </w:tc>
      </w:tr>
      <w:tr>
        <w:trPr/>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this Quarterly Report on Form 10-Q for the quarter ended March 31, 2023, formatted in Inline XBRL (included in Exhibit 101)</w:t>
            </w:r>
          </w:p>
        </w:tc>
      </w:tr>
      <w:tr>
        <w:trPr/>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28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747" w:type="dxa"/>
        <w:jc w:val="left"/>
        <w:tblInd w:w="0" w:type="dxa"/>
        <w:tblCellMar>
          <w:top w:w="28" w:type="dxa"/>
          <w:left w:w="28" w:type="dxa"/>
          <w:bottom w:w="28" w:type="dxa"/>
          <w:right w:w="28" w:type="dxa"/>
        </w:tblCellMar>
      </w:tblPr>
      <w:tblGrid>
        <w:gridCol w:w="200"/>
        <w:gridCol w:w="177"/>
        <w:gridCol w:w="178"/>
        <w:gridCol w:w="429"/>
        <w:gridCol w:w="429"/>
        <w:gridCol w:w="431"/>
        <w:gridCol w:w="286"/>
        <w:gridCol w:w="286"/>
        <w:gridCol w:w="286"/>
        <w:gridCol w:w="884"/>
        <w:gridCol w:w="884"/>
        <w:gridCol w:w="1277"/>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 Holdings, Inc.</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8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GARNER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Garner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8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 SEWELL</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 Sewell</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Financial Reporting</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13a-14(a)/15d-14(a)</w:t>
      </w:r>
    </w:p>
    <w:tbl>
      <w:tblPr>
        <w:tblW w:w="10205" w:type="dxa"/>
        <w:jc w:val="center"/>
        <w:tblInd w:w="0" w:type="dxa"/>
        <w:tblCellMar>
          <w:top w:w="28" w:type="dxa"/>
          <w:left w:w="28" w:type="dxa"/>
          <w:bottom w:w="28" w:type="dxa"/>
          <w:right w:w="28" w:type="dxa"/>
        </w:tblCellMar>
      </w:tblPr>
      <w:tblGrid>
        <w:gridCol w:w="124"/>
        <w:gridCol w:w="109"/>
        <w:gridCol w:w="109"/>
        <w:gridCol w:w="420"/>
        <w:gridCol w:w="420"/>
        <w:gridCol w:w="420"/>
        <w:gridCol w:w="420"/>
        <w:gridCol w:w="420"/>
        <w:gridCol w:w="420"/>
        <w:gridCol w:w="841"/>
        <w:gridCol w:w="701"/>
        <w:gridCol w:w="701"/>
        <w:gridCol w:w="1124"/>
        <w:gridCol w:w="733"/>
        <w:gridCol w:w="733"/>
        <w:gridCol w:w="733"/>
        <w:gridCol w:w="733"/>
        <w:gridCol w:w="104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Steven A. Michaels, certify that: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PROG Holdings,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34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3"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734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3"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734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3"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734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10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3"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510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3914" w:type="dxa"/>
        <w:jc w:val="center"/>
        <w:tblInd w:w="0" w:type="dxa"/>
        <w:tblCellMar>
          <w:top w:w="28" w:type="dxa"/>
          <w:left w:w="28" w:type="dxa"/>
          <w:bottom w:w="28" w:type="dxa"/>
          <w:right w:w="28" w:type="dxa"/>
        </w:tblCellMar>
      </w:tblPr>
      <w:tblGrid>
        <w:gridCol w:w="200"/>
        <w:gridCol w:w="177"/>
        <w:gridCol w:w="178"/>
        <w:gridCol w:w="429"/>
        <w:gridCol w:w="429"/>
        <w:gridCol w:w="431"/>
        <w:gridCol w:w="607"/>
        <w:gridCol w:w="607"/>
        <w:gridCol w:w="856"/>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A. Michaels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A. Michaels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80" w:after="283"/>
        <w:rPr/>
      </w:pPr>
      <w:r>
        <w:rPr/>
      </w:r>
    </w:p>
    <w:p>
      <w:pPr>
        <w:pStyle w:val="TextBody"/>
        <w:spacing w:before="0" w:after="0"/>
        <w:jc w:val="center"/>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13a-14(a)/15d-14(a)</w:t>
      </w:r>
    </w:p>
    <w:tbl>
      <w:tblPr>
        <w:tblW w:w="10205" w:type="dxa"/>
        <w:jc w:val="center"/>
        <w:tblInd w:w="0" w:type="dxa"/>
        <w:tblCellMar>
          <w:top w:w="28" w:type="dxa"/>
          <w:left w:w="28" w:type="dxa"/>
          <w:bottom w:w="28" w:type="dxa"/>
          <w:right w:w="28" w:type="dxa"/>
        </w:tblCellMar>
      </w:tblPr>
      <w:tblGrid>
        <w:gridCol w:w="124"/>
        <w:gridCol w:w="109"/>
        <w:gridCol w:w="109"/>
        <w:gridCol w:w="420"/>
        <w:gridCol w:w="420"/>
        <w:gridCol w:w="420"/>
        <w:gridCol w:w="420"/>
        <w:gridCol w:w="420"/>
        <w:gridCol w:w="420"/>
        <w:gridCol w:w="840"/>
        <w:gridCol w:w="700"/>
        <w:gridCol w:w="700"/>
        <w:gridCol w:w="1124"/>
        <w:gridCol w:w="733"/>
        <w:gridCol w:w="733"/>
        <w:gridCol w:w="733"/>
        <w:gridCol w:w="733"/>
        <w:gridCol w:w="104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Brian Garner, certify that: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PROG Holdings,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34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3"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734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3"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734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3"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734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0"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10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0"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0"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510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spacing w:lineRule="auto" w:line="288" w:before="0" w:after="0"/>
        <w:rPr>
          <w:color w:val="000000"/>
        </w:rPr>
      </w:pPr>
      <w:r>
        <w:rPr>
          <w:color w:val="000000"/>
        </w:rPr>
        <w:t> </w:t>
      </w:r>
    </w:p>
    <w:tbl>
      <w:tblPr>
        <w:tblW w:w="3854" w:type="dxa"/>
        <w:jc w:val="center"/>
        <w:tblInd w:w="0" w:type="dxa"/>
        <w:tblCellMar>
          <w:top w:w="28" w:type="dxa"/>
          <w:left w:w="28" w:type="dxa"/>
          <w:bottom w:w="28" w:type="dxa"/>
          <w:right w:w="28" w:type="dxa"/>
        </w:tblCellMar>
      </w:tblPr>
      <w:tblGrid>
        <w:gridCol w:w="200"/>
        <w:gridCol w:w="177"/>
        <w:gridCol w:w="178"/>
        <w:gridCol w:w="429"/>
        <w:gridCol w:w="429"/>
        <w:gridCol w:w="431"/>
        <w:gridCol w:w="587"/>
        <w:gridCol w:w="587"/>
        <w:gridCol w:w="836"/>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Garner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Garner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 AS ADOPTED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Steven A. Michaels, Chief Executive Officer of PROG Holdings, Inc. (the "Company"), certify, pursuant to Section 906 of the Sarbanes-Oxley Act of 2002, 18 U.S.C. Section 1350 that: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Quarterly Report on Form 10-Q of the Company for the quarter ended March 31, 2023 (the "Report") fully complies with the requirements of Section 13(a) of the Securities Exchange Act of 1934 (15 U.S.C. 78m); and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4285" w:type="dxa"/>
        <w:jc w:val="left"/>
        <w:tblInd w:w="0" w:type="dxa"/>
        <w:tblCellMar>
          <w:top w:w="28" w:type="dxa"/>
          <w:left w:w="28" w:type="dxa"/>
          <w:bottom w:w="28" w:type="dxa"/>
          <w:right w:w="28" w:type="dxa"/>
        </w:tblCellMar>
      </w:tblPr>
      <w:tblGrid>
        <w:gridCol w:w="216"/>
        <w:gridCol w:w="191"/>
        <w:gridCol w:w="192"/>
        <w:gridCol w:w="429"/>
        <w:gridCol w:w="429"/>
        <w:gridCol w:w="431"/>
        <w:gridCol w:w="109"/>
        <w:gridCol w:w="109"/>
        <w:gridCol w:w="109"/>
        <w:gridCol w:w="607"/>
        <w:gridCol w:w="607"/>
        <w:gridCol w:w="856"/>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A. Michaels</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A. Michaels</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 AS ADOPTED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Brian Garner, Chief Financial Officer of PROG Holdings, Inc. (the "Company"), certify, pursuant to Section 906 of the Sarbanes-Oxley Act of 2002, 18 U.S.C. Section 1350 that: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Quarterly Report on Form 10-Q of the Company for the quarter ended March 31, 2023 (the "Report") fully complies with the requirements of Section 13(a) of the Securities Exchange Act of 1934 (15 U.S.C. 78m); and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4181" w:type="dxa"/>
        <w:jc w:val="left"/>
        <w:tblInd w:w="0" w:type="dxa"/>
        <w:tblCellMar>
          <w:top w:w="28" w:type="dxa"/>
          <w:left w:w="28" w:type="dxa"/>
          <w:bottom w:w="28" w:type="dxa"/>
          <w:right w:w="28" w:type="dxa"/>
        </w:tblCellMar>
      </w:tblPr>
      <w:tblGrid>
        <w:gridCol w:w="200"/>
        <w:gridCol w:w="177"/>
        <w:gridCol w:w="178"/>
        <w:gridCol w:w="429"/>
        <w:gridCol w:w="429"/>
        <w:gridCol w:w="431"/>
        <w:gridCol w:w="109"/>
        <w:gridCol w:w="109"/>
        <w:gridCol w:w="109"/>
        <w:gridCol w:w="587"/>
        <w:gridCol w:w="587"/>
        <w:gridCol w:w="836"/>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Garner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Garner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16938</Words>
  <CharactersWithSpaces>111966</CharactersWithSpaces>
  <Paragraphs>1828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